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spacing w:line="360" w:lineRule="auto"/>
        <w:jc w:val="left"/>
        <w:rPr>
          <w:rFonts w:ascii="华文中宋" w:hAnsi="华文中宋" w:eastAsia="仿宋"/>
          <w:sz w:val="30"/>
        </w:rPr>
      </w:pPr>
      <w:r>
        <w:rPr>
          <w:rFonts w:ascii="仿宋" w:hAnsi="仿宋" w:eastAsia="仿宋"/>
          <w:sz w:val="30"/>
        </w:rPr>
        <w:t>附件</w:t>
      </w:r>
      <w:r>
        <w:rPr>
          <w:rFonts w:hint="eastAsia" w:ascii="仿宋" w:hAnsi="仿宋" w:eastAsia="仿宋"/>
          <w:sz w:val="30"/>
        </w:rPr>
        <w:t>2</w:t>
      </w:r>
    </w:p>
    <w:p>
      <w:pPr>
        <w:snapToGrid w:val="0"/>
        <w:spacing w:line="360" w:lineRule="auto"/>
        <w:jc w:val="center"/>
        <w:rPr>
          <w:rFonts w:ascii="华文中宋" w:hAnsi="华文中宋" w:eastAsia="华文中宋"/>
          <w:sz w:val="30"/>
        </w:rPr>
      </w:pPr>
      <w:r>
        <w:rPr>
          <w:rFonts w:ascii="华文中宋" w:hAnsi="华文中宋" w:eastAsia="华文中宋"/>
          <w:sz w:val="30"/>
        </w:rPr>
        <w:t>202</w:t>
      </w:r>
      <w:r>
        <w:rPr>
          <w:rFonts w:hint="eastAsia" w:ascii="华文中宋" w:hAnsi="华文中宋" w:eastAsia="华文中宋"/>
          <w:sz w:val="30"/>
        </w:rPr>
        <w:t>1</w:t>
      </w:r>
      <w:r>
        <w:rPr>
          <w:rFonts w:ascii="华文中宋" w:hAnsi="华文中宋" w:eastAsia="华文中宋"/>
          <w:sz w:val="30"/>
        </w:rPr>
        <w:t>年县(市)区科技特派员</w:t>
      </w:r>
      <w:r>
        <w:rPr>
          <w:rFonts w:hint="eastAsia" w:ascii="华文中宋" w:hAnsi="华文中宋" w:eastAsia="华文中宋"/>
          <w:sz w:val="30"/>
        </w:rPr>
        <w:t>工作任务分解</w:t>
      </w:r>
    </w:p>
    <w:tbl>
      <w:tblPr>
        <w:tblStyle w:val="2"/>
        <w:tblW w:w="0" w:type="auto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215"/>
        <w:gridCol w:w="2340"/>
        <w:gridCol w:w="2923"/>
        <w:gridCol w:w="2161"/>
        <w:gridCol w:w="2410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7" w:hRule="atLeast"/>
          <w:jc w:val="center"/>
        </w:trPr>
        <w:tc>
          <w:tcPr>
            <w:tcW w:w="2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napToGrid w:val="0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县(市)区</w:t>
            </w:r>
          </w:p>
        </w:tc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napToGrid w:val="0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县(市)区科技特派员</w:t>
            </w:r>
          </w:p>
        </w:tc>
        <w:tc>
          <w:tcPr>
            <w:tcW w:w="2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napToGrid w:val="0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选认省市科技特派员(人)</w:t>
            </w:r>
          </w:p>
        </w:tc>
        <w:tc>
          <w:tcPr>
            <w:tcW w:w="2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napToGrid w:val="0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台籍科技特派员（人）</w:t>
            </w:r>
          </w:p>
        </w:tc>
        <w:tc>
          <w:tcPr>
            <w:tcW w:w="2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napToGrid w:val="0"/>
              <w:jc w:val="center"/>
              <w:rPr>
                <w:b/>
                <w:sz w:val="20"/>
              </w:rPr>
            </w:pPr>
            <w:r>
              <w:rPr>
                <w:rFonts w:hint="eastAsia"/>
                <w:b/>
                <w:sz w:val="20"/>
              </w:rPr>
              <w:t>团队科技特派员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  <w:jc w:val="center"/>
        </w:trPr>
        <w:tc>
          <w:tcPr>
            <w:tcW w:w="2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napToGrid w:val="0"/>
              <w:ind w:right="160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 xml:space="preserve"> 鼓楼区</w:t>
            </w:r>
          </w:p>
        </w:tc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  <w:r>
              <w:rPr>
                <w:sz w:val="20"/>
              </w:rPr>
              <w:t>实现行政村全覆盖</w:t>
            </w:r>
          </w:p>
        </w:tc>
        <w:tc>
          <w:tcPr>
            <w:tcW w:w="2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napToGrid w:val="0"/>
              <w:jc w:val="center"/>
              <w:rPr>
                <w:sz w:val="20"/>
              </w:rPr>
            </w:pPr>
            <w:r>
              <w:rPr>
                <w:rFonts w:hint="eastAsia"/>
                <w:sz w:val="24"/>
              </w:rPr>
              <w:t>=6</w:t>
            </w:r>
          </w:p>
        </w:tc>
        <w:tc>
          <w:tcPr>
            <w:tcW w:w="2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napToGrid w:val="0"/>
              <w:jc w:val="center"/>
              <w:rPr>
                <w:sz w:val="20"/>
              </w:rPr>
            </w:pPr>
            <w:r>
              <w:rPr>
                <w:rFonts w:hint="eastAsia" w:ascii="宋体" w:hAnsi="宋体"/>
                <w:sz w:val="20"/>
              </w:rPr>
              <w:t>/</w:t>
            </w:r>
          </w:p>
        </w:tc>
        <w:tc>
          <w:tcPr>
            <w:tcW w:w="2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napToGrid w:val="0"/>
              <w:jc w:val="center"/>
              <w:rPr>
                <w:sz w:val="20"/>
              </w:rPr>
            </w:pPr>
            <w:r>
              <w:rPr>
                <w:rFonts w:hint="eastAsia" w:ascii="宋体" w:hAnsi="宋体"/>
                <w:sz w:val="20"/>
              </w:rPr>
              <w:t>/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  <w:jc w:val="center"/>
        </w:trPr>
        <w:tc>
          <w:tcPr>
            <w:tcW w:w="2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napToGrid w:val="0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台江区</w:t>
            </w:r>
          </w:p>
        </w:tc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  <w:r>
              <w:rPr>
                <w:sz w:val="20"/>
              </w:rPr>
              <w:t>实现行政村全覆盖</w:t>
            </w:r>
          </w:p>
        </w:tc>
        <w:tc>
          <w:tcPr>
            <w:tcW w:w="2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napToGrid w:val="0"/>
              <w:jc w:val="center"/>
              <w:rPr>
                <w:sz w:val="20"/>
              </w:rPr>
            </w:pPr>
            <w:r>
              <w:rPr>
                <w:rFonts w:hint="eastAsia"/>
                <w:sz w:val="24"/>
              </w:rPr>
              <w:t>=4</w:t>
            </w:r>
          </w:p>
        </w:tc>
        <w:tc>
          <w:tcPr>
            <w:tcW w:w="2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napToGrid w:val="0"/>
              <w:jc w:val="center"/>
              <w:rPr>
                <w:sz w:val="20"/>
              </w:rPr>
            </w:pPr>
            <w:r>
              <w:rPr>
                <w:rFonts w:hint="eastAsia" w:ascii="宋体" w:hAnsi="宋体"/>
                <w:sz w:val="20"/>
              </w:rPr>
              <w:t>/</w:t>
            </w:r>
          </w:p>
        </w:tc>
        <w:tc>
          <w:tcPr>
            <w:tcW w:w="2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napToGrid w:val="0"/>
              <w:jc w:val="center"/>
              <w:rPr>
                <w:sz w:val="20"/>
              </w:rPr>
            </w:pPr>
            <w:r>
              <w:rPr>
                <w:rFonts w:hint="eastAsia" w:ascii="宋体" w:hAnsi="宋体"/>
                <w:sz w:val="20"/>
              </w:rPr>
              <w:t>/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6" w:hRule="atLeast"/>
          <w:jc w:val="center"/>
        </w:trPr>
        <w:tc>
          <w:tcPr>
            <w:tcW w:w="2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napToGrid w:val="0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仓山区</w:t>
            </w:r>
          </w:p>
        </w:tc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  <w:r>
              <w:rPr>
                <w:sz w:val="20"/>
              </w:rPr>
              <w:t>实现行政村全覆盖</w:t>
            </w:r>
          </w:p>
        </w:tc>
        <w:tc>
          <w:tcPr>
            <w:tcW w:w="2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napToGrid w:val="0"/>
              <w:jc w:val="center"/>
              <w:rPr>
                <w:sz w:val="20"/>
              </w:rPr>
            </w:pPr>
            <w:r>
              <w:rPr>
                <w:rFonts w:hint="eastAsia"/>
                <w:sz w:val="24"/>
              </w:rPr>
              <w:t>=</w:t>
            </w:r>
            <w:r>
              <w:rPr>
                <w:sz w:val="24"/>
              </w:rPr>
              <w:t>40</w:t>
            </w:r>
          </w:p>
        </w:tc>
        <w:tc>
          <w:tcPr>
            <w:tcW w:w="2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napToGrid w:val="0"/>
              <w:jc w:val="center"/>
              <w:rPr>
                <w:sz w:val="20"/>
              </w:rPr>
            </w:pPr>
            <w:r>
              <w:rPr>
                <w:rFonts w:hint="eastAsia" w:ascii="宋体" w:hAnsi="宋体"/>
                <w:sz w:val="20"/>
              </w:rPr>
              <w:t>≥</w:t>
            </w:r>
            <w:r>
              <w:rPr>
                <w:sz w:val="20"/>
              </w:rPr>
              <w:t>2</w:t>
            </w:r>
          </w:p>
        </w:tc>
        <w:tc>
          <w:tcPr>
            <w:tcW w:w="2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napToGrid w:val="0"/>
              <w:jc w:val="center"/>
              <w:rPr>
                <w:sz w:val="20"/>
              </w:rPr>
            </w:pPr>
            <w:r>
              <w:rPr>
                <w:rFonts w:hint="eastAsia" w:ascii="宋体" w:hAnsi="宋体"/>
                <w:sz w:val="20"/>
              </w:rPr>
              <w:t>≥</w:t>
            </w:r>
            <w:r>
              <w:rPr>
                <w:rFonts w:hint="eastAsia"/>
                <w:sz w:val="20"/>
              </w:rPr>
              <w:t>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0" w:hRule="atLeast"/>
          <w:jc w:val="center"/>
        </w:trPr>
        <w:tc>
          <w:tcPr>
            <w:tcW w:w="2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napToGrid w:val="0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晋安区</w:t>
            </w:r>
          </w:p>
        </w:tc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  <w:r>
              <w:rPr>
                <w:sz w:val="20"/>
              </w:rPr>
              <w:t>实现行政村全覆盖</w:t>
            </w:r>
          </w:p>
        </w:tc>
        <w:tc>
          <w:tcPr>
            <w:tcW w:w="2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napToGrid w:val="0"/>
              <w:jc w:val="center"/>
              <w:rPr>
                <w:sz w:val="20"/>
              </w:rPr>
            </w:pPr>
            <w:r>
              <w:rPr>
                <w:rFonts w:hint="eastAsia"/>
                <w:sz w:val="24"/>
              </w:rPr>
              <w:t>=46</w:t>
            </w:r>
          </w:p>
        </w:tc>
        <w:tc>
          <w:tcPr>
            <w:tcW w:w="2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napToGrid w:val="0"/>
              <w:jc w:val="center"/>
              <w:rPr>
                <w:sz w:val="20"/>
              </w:rPr>
            </w:pPr>
            <w:r>
              <w:rPr>
                <w:rFonts w:hint="eastAsia" w:ascii="宋体" w:hAnsi="宋体"/>
                <w:sz w:val="20"/>
              </w:rPr>
              <w:t>≥</w:t>
            </w:r>
            <w:r>
              <w:rPr>
                <w:sz w:val="20"/>
              </w:rPr>
              <w:t>2</w:t>
            </w:r>
          </w:p>
        </w:tc>
        <w:tc>
          <w:tcPr>
            <w:tcW w:w="2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napToGrid w:val="0"/>
              <w:jc w:val="center"/>
              <w:rPr>
                <w:sz w:val="20"/>
              </w:rPr>
            </w:pPr>
            <w:r>
              <w:rPr>
                <w:rFonts w:hint="eastAsia" w:ascii="宋体" w:hAnsi="宋体"/>
                <w:sz w:val="20"/>
              </w:rPr>
              <w:t>≥</w:t>
            </w:r>
            <w:r>
              <w:rPr>
                <w:rFonts w:hint="eastAsia"/>
                <w:sz w:val="20"/>
              </w:rPr>
              <w:t>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  <w:jc w:val="center"/>
        </w:trPr>
        <w:tc>
          <w:tcPr>
            <w:tcW w:w="2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napToGrid w:val="0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马尾区</w:t>
            </w:r>
          </w:p>
        </w:tc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  <w:r>
              <w:rPr>
                <w:sz w:val="20"/>
              </w:rPr>
              <w:t>实现行政村全覆盖</w:t>
            </w:r>
          </w:p>
        </w:tc>
        <w:tc>
          <w:tcPr>
            <w:tcW w:w="2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napToGrid w:val="0"/>
              <w:jc w:val="center"/>
              <w:rPr>
                <w:sz w:val="20"/>
              </w:rPr>
            </w:pPr>
            <w:r>
              <w:rPr>
                <w:rFonts w:hint="eastAsia"/>
                <w:sz w:val="24"/>
              </w:rPr>
              <w:t>=12</w:t>
            </w:r>
          </w:p>
        </w:tc>
        <w:tc>
          <w:tcPr>
            <w:tcW w:w="2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napToGrid w:val="0"/>
              <w:jc w:val="center"/>
              <w:rPr>
                <w:sz w:val="20"/>
              </w:rPr>
            </w:pPr>
            <w:r>
              <w:rPr>
                <w:rFonts w:hint="eastAsia" w:ascii="宋体" w:hAnsi="宋体"/>
                <w:sz w:val="20"/>
              </w:rPr>
              <w:t>≥</w:t>
            </w:r>
            <w:r>
              <w:rPr>
                <w:sz w:val="20"/>
              </w:rPr>
              <w:t>2</w:t>
            </w:r>
          </w:p>
        </w:tc>
        <w:tc>
          <w:tcPr>
            <w:tcW w:w="2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napToGrid w:val="0"/>
              <w:jc w:val="center"/>
              <w:rPr>
                <w:sz w:val="20"/>
              </w:rPr>
            </w:pPr>
            <w:r>
              <w:rPr>
                <w:rFonts w:hint="eastAsia" w:ascii="宋体" w:hAnsi="宋体"/>
                <w:sz w:val="20"/>
              </w:rPr>
              <w:t>≥</w:t>
            </w:r>
            <w:r>
              <w:rPr>
                <w:rFonts w:hint="eastAsia"/>
                <w:sz w:val="20"/>
              </w:rPr>
              <w:t>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6" w:hRule="atLeast"/>
          <w:jc w:val="center"/>
        </w:trPr>
        <w:tc>
          <w:tcPr>
            <w:tcW w:w="2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napToGrid w:val="0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长乐区</w:t>
            </w:r>
          </w:p>
        </w:tc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  <w:r>
              <w:rPr>
                <w:sz w:val="20"/>
              </w:rPr>
              <w:t>实现行政村全覆盖</w:t>
            </w:r>
          </w:p>
        </w:tc>
        <w:tc>
          <w:tcPr>
            <w:tcW w:w="2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napToGrid w:val="0"/>
              <w:jc w:val="center"/>
              <w:rPr>
                <w:sz w:val="20"/>
              </w:rPr>
            </w:pPr>
            <w:r>
              <w:rPr>
                <w:rFonts w:hint="eastAsia"/>
                <w:sz w:val="24"/>
              </w:rPr>
              <w:t>=60</w:t>
            </w:r>
          </w:p>
        </w:tc>
        <w:tc>
          <w:tcPr>
            <w:tcW w:w="2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napToGrid w:val="0"/>
              <w:jc w:val="center"/>
              <w:rPr>
                <w:sz w:val="20"/>
              </w:rPr>
            </w:pPr>
            <w:r>
              <w:rPr>
                <w:rFonts w:hint="eastAsia" w:ascii="宋体" w:hAnsi="宋体"/>
                <w:sz w:val="20"/>
              </w:rPr>
              <w:t>≥</w:t>
            </w:r>
            <w:r>
              <w:rPr>
                <w:sz w:val="20"/>
              </w:rPr>
              <w:t>2</w:t>
            </w:r>
          </w:p>
        </w:tc>
        <w:tc>
          <w:tcPr>
            <w:tcW w:w="2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napToGrid w:val="0"/>
              <w:jc w:val="center"/>
              <w:rPr>
                <w:sz w:val="20"/>
              </w:rPr>
            </w:pPr>
            <w:r>
              <w:rPr>
                <w:rFonts w:hint="eastAsia" w:ascii="宋体" w:hAnsi="宋体"/>
                <w:sz w:val="20"/>
              </w:rPr>
              <w:t>≥</w:t>
            </w:r>
            <w:r>
              <w:rPr>
                <w:rFonts w:hint="eastAsia"/>
                <w:sz w:val="20"/>
              </w:rPr>
              <w:t>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6" w:hRule="atLeast"/>
          <w:jc w:val="center"/>
        </w:trPr>
        <w:tc>
          <w:tcPr>
            <w:tcW w:w="2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napToGrid w:val="0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福清市</w:t>
            </w:r>
          </w:p>
        </w:tc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  <w:r>
              <w:rPr>
                <w:sz w:val="20"/>
              </w:rPr>
              <w:t>实现行政村全覆盖</w:t>
            </w:r>
          </w:p>
        </w:tc>
        <w:tc>
          <w:tcPr>
            <w:tcW w:w="2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napToGrid w:val="0"/>
              <w:jc w:val="center"/>
              <w:rPr>
                <w:sz w:val="20"/>
              </w:rPr>
            </w:pPr>
            <w:r>
              <w:rPr>
                <w:rFonts w:hint="eastAsia"/>
                <w:sz w:val="24"/>
              </w:rPr>
              <w:t>=102</w:t>
            </w:r>
          </w:p>
        </w:tc>
        <w:tc>
          <w:tcPr>
            <w:tcW w:w="2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napToGrid w:val="0"/>
              <w:jc w:val="center"/>
              <w:rPr>
                <w:sz w:val="20"/>
              </w:rPr>
            </w:pPr>
            <w:r>
              <w:rPr>
                <w:rFonts w:hint="eastAsia" w:ascii="宋体" w:hAnsi="宋体"/>
                <w:sz w:val="20"/>
              </w:rPr>
              <w:t>≥</w:t>
            </w:r>
            <w:r>
              <w:rPr>
                <w:rFonts w:hint="eastAsia"/>
                <w:sz w:val="20"/>
              </w:rPr>
              <w:t>3</w:t>
            </w:r>
          </w:p>
        </w:tc>
        <w:tc>
          <w:tcPr>
            <w:tcW w:w="2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napToGrid w:val="0"/>
              <w:jc w:val="center"/>
              <w:rPr>
                <w:sz w:val="20"/>
              </w:rPr>
            </w:pPr>
            <w:r>
              <w:rPr>
                <w:rFonts w:hint="eastAsia" w:ascii="宋体" w:hAnsi="宋体"/>
                <w:sz w:val="20"/>
              </w:rPr>
              <w:t>≥</w:t>
            </w:r>
            <w:r>
              <w:rPr>
                <w:rFonts w:hint="eastAsia"/>
                <w:sz w:val="20"/>
              </w:rPr>
              <w:t>4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6" w:hRule="atLeast"/>
          <w:jc w:val="center"/>
        </w:trPr>
        <w:tc>
          <w:tcPr>
            <w:tcW w:w="2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napToGrid w:val="0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闽侯县</w:t>
            </w:r>
          </w:p>
          <w:p>
            <w:pPr>
              <w:snapToGrid w:val="0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(高新区)</w:t>
            </w:r>
          </w:p>
        </w:tc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  <w:r>
              <w:rPr>
                <w:sz w:val="20"/>
              </w:rPr>
              <w:t>实现行政村全覆盖</w:t>
            </w:r>
          </w:p>
        </w:tc>
        <w:tc>
          <w:tcPr>
            <w:tcW w:w="2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  <w:r>
              <w:rPr>
                <w:sz w:val="24"/>
              </w:rPr>
              <w:t>闽侯：</w:t>
            </w:r>
            <w:r>
              <w:rPr>
                <w:rFonts w:hint="eastAsia"/>
                <w:sz w:val="24"/>
              </w:rPr>
              <w:t>=</w:t>
            </w:r>
            <w:r>
              <w:rPr>
                <w:sz w:val="24"/>
              </w:rPr>
              <w:t>50</w:t>
            </w:r>
          </w:p>
          <w:p>
            <w:pPr>
              <w:snapToGrid w:val="0"/>
              <w:jc w:val="center"/>
              <w:rPr>
                <w:sz w:val="20"/>
              </w:rPr>
            </w:pPr>
            <w:r>
              <w:rPr>
                <w:sz w:val="24"/>
              </w:rPr>
              <w:t>高新区：</w:t>
            </w:r>
            <w:r>
              <w:rPr>
                <w:rFonts w:hint="eastAsia"/>
                <w:sz w:val="24"/>
              </w:rPr>
              <w:t>=</w:t>
            </w:r>
            <w:r>
              <w:rPr>
                <w:sz w:val="24"/>
              </w:rPr>
              <w:t>30</w:t>
            </w:r>
          </w:p>
        </w:tc>
        <w:tc>
          <w:tcPr>
            <w:tcW w:w="2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napToGrid w:val="0"/>
              <w:jc w:val="center"/>
              <w:rPr>
                <w:sz w:val="20"/>
              </w:rPr>
            </w:pPr>
            <w:r>
              <w:rPr>
                <w:rFonts w:hint="eastAsia" w:ascii="宋体" w:hAnsi="宋体"/>
                <w:sz w:val="20"/>
              </w:rPr>
              <w:t>≥</w:t>
            </w:r>
            <w:r>
              <w:rPr>
                <w:rFonts w:hint="eastAsia"/>
                <w:sz w:val="20"/>
              </w:rPr>
              <w:t>3</w:t>
            </w:r>
          </w:p>
        </w:tc>
        <w:tc>
          <w:tcPr>
            <w:tcW w:w="2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napToGrid w:val="0"/>
              <w:jc w:val="center"/>
              <w:rPr>
                <w:sz w:val="20"/>
              </w:rPr>
            </w:pPr>
            <w:r>
              <w:rPr>
                <w:rFonts w:hint="eastAsia" w:ascii="宋体" w:hAnsi="宋体"/>
                <w:sz w:val="20"/>
              </w:rPr>
              <w:t>≥</w:t>
            </w:r>
            <w:r>
              <w:rPr>
                <w:rFonts w:hint="eastAsia"/>
                <w:sz w:val="20"/>
              </w:rPr>
              <w:t>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  <w:jc w:val="center"/>
        </w:trPr>
        <w:tc>
          <w:tcPr>
            <w:tcW w:w="2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napToGrid w:val="0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连江县</w:t>
            </w:r>
          </w:p>
        </w:tc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  <w:r>
              <w:rPr>
                <w:sz w:val="20"/>
              </w:rPr>
              <w:t>实现行政村全覆盖</w:t>
            </w:r>
          </w:p>
        </w:tc>
        <w:tc>
          <w:tcPr>
            <w:tcW w:w="2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napToGrid w:val="0"/>
              <w:jc w:val="center"/>
              <w:rPr>
                <w:sz w:val="20"/>
              </w:rPr>
            </w:pPr>
            <w:r>
              <w:rPr>
                <w:rFonts w:hint="eastAsia"/>
                <w:sz w:val="24"/>
              </w:rPr>
              <w:t>=</w:t>
            </w:r>
            <w:r>
              <w:rPr>
                <w:sz w:val="24"/>
              </w:rPr>
              <w:t>70</w:t>
            </w:r>
          </w:p>
        </w:tc>
        <w:tc>
          <w:tcPr>
            <w:tcW w:w="2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napToGrid w:val="0"/>
              <w:jc w:val="center"/>
              <w:rPr>
                <w:sz w:val="20"/>
              </w:rPr>
            </w:pPr>
            <w:r>
              <w:rPr>
                <w:rFonts w:hint="eastAsia" w:ascii="宋体" w:hAnsi="宋体"/>
                <w:sz w:val="20"/>
              </w:rPr>
              <w:t>≥</w:t>
            </w:r>
            <w:r>
              <w:rPr>
                <w:rFonts w:hint="eastAsia"/>
                <w:sz w:val="20"/>
              </w:rPr>
              <w:t>3</w:t>
            </w:r>
          </w:p>
        </w:tc>
        <w:tc>
          <w:tcPr>
            <w:tcW w:w="2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napToGrid w:val="0"/>
              <w:jc w:val="center"/>
              <w:rPr>
                <w:sz w:val="20"/>
              </w:rPr>
            </w:pPr>
            <w:r>
              <w:rPr>
                <w:rFonts w:hint="eastAsia" w:ascii="宋体" w:hAnsi="宋体"/>
                <w:sz w:val="20"/>
              </w:rPr>
              <w:t>≥</w:t>
            </w:r>
            <w:r>
              <w:rPr>
                <w:rFonts w:hint="eastAsia"/>
                <w:sz w:val="20"/>
              </w:rPr>
              <w:t>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  <w:jc w:val="center"/>
        </w:trPr>
        <w:tc>
          <w:tcPr>
            <w:tcW w:w="2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napToGrid w:val="0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闽清县</w:t>
            </w:r>
          </w:p>
        </w:tc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  <w:r>
              <w:rPr>
                <w:sz w:val="20"/>
              </w:rPr>
              <w:t>实现行政村全覆盖</w:t>
            </w:r>
          </w:p>
        </w:tc>
        <w:tc>
          <w:tcPr>
            <w:tcW w:w="2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napToGrid w:val="0"/>
              <w:jc w:val="center"/>
              <w:rPr>
                <w:sz w:val="20"/>
              </w:rPr>
            </w:pPr>
            <w:r>
              <w:rPr>
                <w:rFonts w:hint="eastAsia"/>
                <w:sz w:val="24"/>
              </w:rPr>
              <w:t>=</w:t>
            </w:r>
            <w:r>
              <w:rPr>
                <w:sz w:val="24"/>
              </w:rPr>
              <w:t>70</w:t>
            </w:r>
          </w:p>
        </w:tc>
        <w:tc>
          <w:tcPr>
            <w:tcW w:w="2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napToGrid w:val="0"/>
              <w:jc w:val="center"/>
              <w:rPr>
                <w:sz w:val="20"/>
              </w:rPr>
            </w:pPr>
            <w:r>
              <w:rPr>
                <w:rFonts w:hint="eastAsia" w:ascii="宋体" w:hAnsi="宋体"/>
                <w:sz w:val="20"/>
              </w:rPr>
              <w:t>≥</w:t>
            </w:r>
            <w:r>
              <w:rPr>
                <w:rFonts w:hint="eastAsia"/>
                <w:sz w:val="20"/>
              </w:rPr>
              <w:t>3</w:t>
            </w:r>
          </w:p>
        </w:tc>
        <w:tc>
          <w:tcPr>
            <w:tcW w:w="2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napToGrid w:val="0"/>
              <w:jc w:val="center"/>
              <w:rPr>
                <w:sz w:val="20"/>
              </w:rPr>
            </w:pPr>
            <w:r>
              <w:rPr>
                <w:rFonts w:hint="eastAsia" w:ascii="宋体" w:hAnsi="宋体"/>
                <w:sz w:val="20"/>
              </w:rPr>
              <w:t>≥</w:t>
            </w:r>
            <w:r>
              <w:rPr>
                <w:rFonts w:hint="eastAsia"/>
                <w:sz w:val="20"/>
              </w:rPr>
              <w:t>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6" w:hRule="atLeast"/>
          <w:jc w:val="center"/>
        </w:trPr>
        <w:tc>
          <w:tcPr>
            <w:tcW w:w="2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napToGrid w:val="0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罗源县</w:t>
            </w:r>
          </w:p>
        </w:tc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  <w:r>
              <w:rPr>
                <w:sz w:val="20"/>
              </w:rPr>
              <w:t>实现行政村全覆盖</w:t>
            </w:r>
          </w:p>
        </w:tc>
        <w:tc>
          <w:tcPr>
            <w:tcW w:w="2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napToGrid w:val="0"/>
              <w:jc w:val="center"/>
              <w:rPr>
                <w:sz w:val="20"/>
              </w:rPr>
            </w:pPr>
            <w:r>
              <w:rPr>
                <w:rFonts w:hint="eastAsia"/>
                <w:sz w:val="24"/>
              </w:rPr>
              <w:t>=</w:t>
            </w:r>
            <w:r>
              <w:rPr>
                <w:sz w:val="24"/>
              </w:rPr>
              <w:t>40</w:t>
            </w:r>
          </w:p>
        </w:tc>
        <w:tc>
          <w:tcPr>
            <w:tcW w:w="2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napToGrid w:val="0"/>
              <w:jc w:val="center"/>
              <w:rPr>
                <w:sz w:val="20"/>
              </w:rPr>
            </w:pPr>
            <w:r>
              <w:rPr>
                <w:rFonts w:hint="eastAsia" w:ascii="宋体" w:hAnsi="宋体"/>
                <w:sz w:val="20"/>
              </w:rPr>
              <w:t>≥</w:t>
            </w:r>
            <w:r>
              <w:rPr>
                <w:rFonts w:hint="eastAsia"/>
                <w:sz w:val="20"/>
              </w:rPr>
              <w:t>2</w:t>
            </w:r>
          </w:p>
        </w:tc>
        <w:tc>
          <w:tcPr>
            <w:tcW w:w="2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napToGrid w:val="0"/>
              <w:jc w:val="center"/>
              <w:rPr>
                <w:sz w:val="20"/>
              </w:rPr>
            </w:pPr>
            <w:r>
              <w:rPr>
                <w:rFonts w:hint="eastAsia" w:ascii="宋体" w:hAnsi="宋体"/>
                <w:sz w:val="20"/>
              </w:rPr>
              <w:t>≥</w:t>
            </w:r>
            <w:r>
              <w:rPr>
                <w:rFonts w:hint="eastAsia"/>
                <w:sz w:val="20"/>
              </w:rPr>
              <w:t>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8" w:hRule="atLeast"/>
          <w:jc w:val="center"/>
        </w:trPr>
        <w:tc>
          <w:tcPr>
            <w:tcW w:w="2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napToGrid w:val="0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永泰县</w:t>
            </w:r>
          </w:p>
        </w:tc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  <w:r>
              <w:rPr>
                <w:sz w:val="20"/>
              </w:rPr>
              <w:t>实现行政村全覆盖</w:t>
            </w:r>
          </w:p>
        </w:tc>
        <w:tc>
          <w:tcPr>
            <w:tcW w:w="2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napToGrid w:val="0"/>
              <w:jc w:val="center"/>
              <w:rPr>
                <w:sz w:val="20"/>
              </w:rPr>
            </w:pPr>
            <w:r>
              <w:rPr>
                <w:rFonts w:hint="eastAsia"/>
                <w:sz w:val="24"/>
              </w:rPr>
              <w:t>=</w:t>
            </w:r>
            <w:r>
              <w:rPr>
                <w:sz w:val="24"/>
              </w:rPr>
              <w:t>70</w:t>
            </w:r>
          </w:p>
        </w:tc>
        <w:tc>
          <w:tcPr>
            <w:tcW w:w="2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napToGrid w:val="0"/>
              <w:jc w:val="center"/>
              <w:rPr>
                <w:sz w:val="20"/>
              </w:rPr>
            </w:pPr>
            <w:r>
              <w:rPr>
                <w:rFonts w:hint="eastAsia" w:ascii="宋体" w:hAnsi="宋体"/>
                <w:sz w:val="20"/>
              </w:rPr>
              <w:t>≥</w:t>
            </w:r>
            <w:r>
              <w:rPr>
                <w:rFonts w:hint="eastAsia"/>
                <w:sz w:val="20"/>
              </w:rPr>
              <w:t>3</w:t>
            </w:r>
          </w:p>
        </w:tc>
        <w:tc>
          <w:tcPr>
            <w:tcW w:w="2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napToGrid w:val="0"/>
              <w:jc w:val="center"/>
              <w:rPr>
                <w:sz w:val="20"/>
              </w:rPr>
            </w:pPr>
            <w:r>
              <w:rPr>
                <w:rFonts w:hint="eastAsia" w:ascii="宋体" w:hAnsi="宋体"/>
                <w:sz w:val="20"/>
              </w:rPr>
              <w:t>≥</w:t>
            </w:r>
            <w:r>
              <w:rPr>
                <w:rFonts w:hint="eastAsia"/>
                <w:sz w:val="20"/>
              </w:rPr>
              <w:t>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4" w:hRule="atLeast"/>
          <w:jc w:val="center"/>
        </w:trPr>
        <w:tc>
          <w:tcPr>
            <w:tcW w:w="2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napToGrid w:val="0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总计</w:t>
            </w:r>
          </w:p>
        </w:tc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  <w:r>
              <w:rPr>
                <w:sz w:val="24"/>
              </w:rPr>
              <w:t>/</w:t>
            </w:r>
          </w:p>
        </w:tc>
        <w:tc>
          <w:tcPr>
            <w:tcW w:w="2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napToGrid w:val="0"/>
              <w:jc w:val="center"/>
              <w:rPr>
                <w:sz w:val="20"/>
              </w:rPr>
            </w:pPr>
            <w:r>
              <w:rPr>
                <w:rFonts w:hint="eastAsia"/>
                <w:sz w:val="24"/>
              </w:rPr>
              <w:t>=</w:t>
            </w:r>
            <w:r>
              <w:rPr>
                <w:sz w:val="24"/>
              </w:rPr>
              <w:t>600</w:t>
            </w:r>
          </w:p>
        </w:tc>
        <w:tc>
          <w:tcPr>
            <w:tcW w:w="2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napToGrid w:val="0"/>
              <w:jc w:val="center"/>
              <w:rPr>
                <w:sz w:val="20"/>
              </w:rPr>
            </w:pPr>
          </w:p>
        </w:tc>
        <w:tc>
          <w:tcPr>
            <w:tcW w:w="2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napToGrid w:val="0"/>
              <w:jc w:val="center"/>
              <w:rPr>
                <w:sz w:val="20"/>
              </w:rPr>
            </w:pPr>
          </w:p>
        </w:tc>
      </w:tr>
    </w:tbl>
    <w:p>
      <w:pPr>
        <w:spacing w:line="600" w:lineRule="exact"/>
        <w:rPr>
          <w:rFonts w:ascii="仿宋_GB2312" w:hAnsi="黑体" w:eastAsia="仿宋_GB2312"/>
          <w:sz w:val="32"/>
          <w:szCs w:val="32"/>
        </w:rPr>
        <w:sectPr>
          <w:pgSz w:w="16838" w:h="11906" w:orient="landscape"/>
          <w:pgMar w:top="1361" w:right="1531" w:bottom="1361" w:left="1531" w:header="851" w:footer="992" w:gutter="0"/>
          <w:cols w:space="720" w:num="1"/>
          <w:docGrid w:type="lines" w:linePitch="327" w:charSpace="0"/>
        </w:sectPr>
      </w:pPr>
    </w:p>
    <w:p>
      <w:pPr>
        <w:snapToGrid w:val="0"/>
        <w:spacing w:line="360" w:lineRule="auto"/>
        <w:jc w:val="left"/>
        <w:rPr>
          <w:rFonts w:ascii="仿宋" w:hAnsi="仿宋" w:eastAsia="仿宋"/>
          <w:sz w:val="30"/>
        </w:rPr>
        <w:sectPr>
          <w:pgSz w:w="11906" w:h="16838"/>
          <w:pgMar w:top="1361" w:right="1531" w:bottom="1361" w:left="1531" w:header="851" w:footer="992" w:gutter="0"/>
          <w:cols w:space="720" w:num="1"/>
          <w:docGrid w:linePitch="321" w:charSpace="0"/>
        </w:sectPr>
      </w:pPr>
      <w:bookmarkStart w:id="0" w:name="_GoBack"/>
      <w:bookmarkEnd w:id="0"/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56D5E07"/>
    <w:rsid w:val="043114F5"/>
    <w:rsid w:val="056D5E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Hyperlink"/>
    <w:basedOn w:val="3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Office_11.1.0.10577_F1E327BC-269C-435d-A152-05C5408002CA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2021-06-18T00:59:00Z</dcterms:created>
  <dc:creator>wengting.</dc:creator>
  <cp:lastModifiedBy>wengting.</cp:lastModifiedBy>
  <dcterms:modified xsi:type="dcterms:W3CDTF">2021-06-18T01:01:28Z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2052-11.1.0.10577</vt:lpwstr>
  </property>
  <property fmtid="{D5CDD505-2E9C-101B-9397-08002B2CF9AE}" pid="3" name="ICV">
    <vt:lpwstr>A83B2FF9ACF3461B8F52D6B132D74BFC</vt:lpwstr>
  </property>
</Properties>
</file>