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外商投资法规、规章、规范性文件清理情况表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28"/>
          <w:szCs w:val="28"/>
          <w:lang w:val="en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填报单位（盖章）：          联系人及职务：</w:t>
      </w:r>
      <w:r>
        <w:rPr>
          <w:rFonts w:hint="default" w:ascii="仿宋_GB2312" w:hAnsi="仿宋_GB2312" w:eastAsia="仿宋_GB2312" w:cs="仿宋_GB2312"/>
          <w:sz w:val="28"/>
          <w:szCs w:val="28"/>
          <w:lang w:val="en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电话：</w:t>
      </w:r>
      <w:r>
        <w:rPr>
          <w:rFonts w:hint="default" w:ascii="仿宋_GB2312" w:hAnsi="仿宋_GB2312" w:eastAsia="仿宋_GB2312" w:cs="仿宋_GB2312"/>
          <w:sz w:val="28"/>
          <w:szCs w:val="28"/>
          <w:lang w:val="en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手机：</w:t>
      </w:r>
      <w:r>
        <w:rPr>
          <w:rFonts w:hint="default" w:ascii="仿宋_GB2312" w:hAnsi="仿宋_GB2312" w:eastAsia="仿宋_GB2312" w:cs="仿宋_GB2312"/>
          <w:sz w:val="28"/>
          <w:szCs w:val="28"/>
          <w:lang w:val="en" w:eastAsia="zh-CN"/>
        </w:rPr>
        <w:t xml:space="preserve">  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020"/>
        <w:gridCol w:w="1680"/>
        <w:gridCol w:w="1770"/>
        <w:gridCol w:w="1575"/>
        <w:gridCol w:w="2700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02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文件名称及文号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文件类型</w:t>
            </w:r>
          </w:p>
        </w:tc>
        <w:tc>
          <w:tcPr>
            <w:tcW w:w="177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清理情况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完成时间</w:t>
            </w:r>
          </w:p>
        </w:tc>
        <w:tc>
          <w:tcPr>
            <w:tcW w:w="270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“立改废”重点</w:t>
            </w:r>
          </w:p>
        </w:tc>
        <w:tc>
          <w:tcPr>
            <w:tcW w:w="161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1" w:colLast="1"/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0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无</w:t>
            </w:r>
          </w:p>
        </w:tc>
        <w:tc>
          <w:tcPr>
            <w:tcW w:w="16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2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02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2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1.填写范围:外商投资法出台后至2021年11月15日期间外商投资相关法规、规章、规范性“立改废”情况。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.“文件类型”栏：应填写(1)行政法规，(2)地方性法规，(3)国务院规范性文件，(4)国务院部门规章，(5)国务院部门规范性文件，(6)地方政府规章，(7)省级人民政府及其部门规范性文件，(8)市、县级人民政府及其部门规范性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3.“清理情况”栏：应填写“新制定”或“修订”或“废止”或“拟出台”或“正在修订”或“即将废止”。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4.“完成时间”栏：应填写已完成“立改废”程序的文件清理时间;正在履行“立改废”程序的文件填写预计完成时间(具体到月)。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5.“立改废”重点栏：(拟/已)修订/废止文件应填写所涉项目(可多选，可填序号)，包括(1)违反外商投资法及其实施条例，(2)违反外商投资准入特别管理措施(负面清单)规定，(3)与党中央、国务院对外开放政策不符。新制定文件应填写以下所涉项目(可多选，可填序号)，包括(1)放宽外资市场准入，(2)保障内外资企业公平竞争，(3)完善事中事后监管措施，(4)加强外商投资权益保护，(5)其他。如填写“其他”，请在备注中说明所涉主要内容。</w:t>
      </w:r>
    </w:p>
    <w:sectPr>
      <w:pgSz w:w="16838" w:h="11906" w:orient="landscape"/>
      <w:pgMar w:top="1134" w:right="1440" w:bottom="1417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935ED"/>
    <w:rsid w:val="04CD0A0D"/>
    <w:rsid w:val="06732C4F"/>
    <w:rsid w:val="11DC6995"/>
    <w:rsid w:val="15C8279B"/>
    <w:rsid w:val="182E087B"/>
    <w:rsid w:val="2B004C6C"/>
    <w:rsid w:val="2D49026E"/>
    <w:rsid w:val="2E912934"/>
    <w:rsid w:val="2FFEC1F8"/>
    <w:rsid w:val="355D7D4D"/>
    <w:rsid w:val="3B322711"/>
    <w:rsid w:val="3C0A20D4"/>
    <w:rsid w:val="3EE935ED"/>
    <w:rsid w:val="3F9509B8"/>
    <w:rsid w:val="42567A2D"/>
    <w:rsid w:val="44911284"/>
    <w:rsid w:val="4F722BA1"/>
    <w:rsid w:val="564C74B5"/>
    <w:rsid w:val="5B6D333A"/>
    <w:rsid w:val="5E8E5A8D"/>
    <w:rsid w:val="70AF36CE"/>
    <w:rsid w:val="73D729E4"/>
    <w:rsid w:val="77285EBE"/>
    <w:rsid w:val="7E1F548E"/>
    <w:rsid w:val="7E952EE1"/>
    <w:rsid w:val="7F0DB4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2021-09-17T01:35:00Z</dcterms:created>
  <dc:creator>Administrator</dc:creator>
  <cp:lastModifiedBy>neokylin</cp:lastModifiedBy>
  <dcterms:modified xsi:type="dcterms:W3CDTF">2021-12-23T09:59:55Z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