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987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7"/>
        <w:gridCol w:w="2170"/>
        <w:gridCol w:w="5070"/>
        <w:gridCol w:w="1072"/>
        <w:gridCol w:w="870"/>
      </w:tblGrid>
      <w:tr w14:paraId="2DE45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100" w:hRule="atLeast"/>
        </w:trPr>
        <w:tc>
          <w:tcPr>
            <w:tcW w:w="9879" w:type="dxa"/>
            <w:gridSpan w:val="5"/>
            <w:tcBorders>
              <w:top w:val="single" w:color="000000" w:sz="4" w:space="0"/>
              <w:left w:val="single" w:color="000000" w:sz="4" w:space="0"/>
              <w:bottom w:val="single" w:color="000000" w:sz="4" w:space="0"/>
              <w:right w:val="nil"/>
            </w:tcBorders>
            <w:shd w:val="clear" w:color="auto" w:fill="auto"/>
            <w:noWrap/>
            <w:vAlign w:val="center"/>
          </w:tcPr>
          <w:p w14:paraId="2F7A8862">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cs="宋体"/>
                <w:b/>
                <w:bCs/>
                <w:i w:val="0"/>
                <w:iCs w:val="0"/>
                <w:color w:val="000000"/>
                <w:kern w:val="0"/>
                <w:sz w:val="40"/>
                <w:szCs w:val="40"/>
                <w:u w:val="none"/>
                <w:lang w:val="en-US" w:eastAsia="zh-CN" w:bidi="ar"/>
              </w:rPr>
              <w:t>仓山生态环境局</w:t>
            </w:r>
            <w:r>
              <w:rPr>
                <w:rFonts w:hint="eastAsia" w:ascii="宋体" w:hAnsi="宋体" w:eastAsia="宋体" w:cs="宋体"/>
                <w:b/>
                <w:bCs/>
                <w:i w:val="0"/>
                <w:iCs w:val="0"/>
                <w:color w:val="000000"/>
                <w:kern w:val="0"/>
                <w:sz w:val="40"/>
                <w:szCs w:val="40"/>
                <w:u w:val="none"/>
                <w:lang w:val="en-US" w:eastAsia="zh-CN" w:bidi="ar"/>
              </w:rPr>
              <w:t>会议系统</w:t>
            </w:r>
            <w:r>
              <w:rPr>
                <w:rFonts w:hint="eastAsia" w:ascii="宋体" w:hAnsi="宋体" w:cs="宋体"/>
                <w:b/>
                <w:bCs/>
                <w:i w:val="0"/>
                <w:iCs w:val="0"/>
                <w:color w:val="000000"/>
                <w:kern w:val="0"/>
                <w:sz w:val="40"/>
                <w:szCs w:val="40"/>
                <w:u w:val="none"/>
                <w:lang w:val="en-US" w:eastAsia="zh-CN" w:bidi="ar"/>
              </w:rPr>
              <w:t>提升</w:t>
            </w:r>
            <w:r>
              <w:rPr>
                <w:rFonts w:hint="eastAsia" w:ascii="宋体" w:hAnsi="宋体" w:eastAsia="宋体" w:cs="宋体"/>
                <w:b/>
                <w:bCs/>
                <w:i w:val="0"/>
                <w:iCs w:val="0"/>
                <w:color w:val="000000"/>
                <w:kern w:val="0"/>
                <w:sz w:val="40"/>
                <w:szCs w:val="40"/>
                <w:u w:val="none"/>
                <w:lang w:val="en-US" w:eastAsia="zh-CN" w:bidi="ar"/>
              </w:rPr>
              <w:t>改造配置清单</w:t>
            </w:r>
          </w:p>
        </w:tc>
      </w:tr>
      <w:tr w14:paraId="657444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C0C0C0"/>
            <w:noWrap/>
            <w:vAlign w:val="center"/>
          </w:tcPr>
          <w:p w14:paraId="30E3A56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C0C0C0"/>
            <w:noWrap/>
            <w:vAlign w:val="center"/>
          </w:tcPr>
          <w:p w14:paraId="1FF5C3B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设备名称</w:t>
            </w:r>
          </w:p>
        </w:tc>
        <w:tc>
          <w:tcPr>
            <w:tcW w:w="0" w:type="auto"/>
            <w:tcBorders>
              <w:top w:val="single" w:color="000000" w:sz="4" w:space="0"/>
              <w:left w:val="single" w:color="000000" w:sz="4" w:space="0"/>
              <w:bottom w:val="single" w:color="000000" w:sz="4" w:space="0"/>
              <w:right w:val="single" w:color="000000" w:sz="4" w:space="0"/>
            </w:tcBorders>
            <w:shd w:val="clear" w:color="auto" w:fill="C0C0C0"/>
            <w:noWrap/>
            <w:vAlign w:val="center"/>
          </w:tcPr>
          <w:p w14:paraId="5C0E546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设备参数</w:t>
            </w:r>
          </w:p>
        </w:tc>
        <w:tc>
          <w:tcPr>
            <w:tcW w:w="1140" w:type="dxa"/>
            <w:tcBorders>
              <w:top w:val="single" w:color="000000" w:sz="4" w:space="0"/>
              <w:left w:val="single" w:color="000000" w:sz="4" w:space="0"/>
              <w:bottom w:val="single" w:color="000000" w:sz="4" w:space="0"/>
              <w:right w:val="single" w:color="000000" w:sz="4" w:space="0"/>
            </w:tcBorders>
            <w:shd w:val="clear" w:color="auto" w:fill="C0C0C0"/>
            <w:vAlign w:val="center"/>
          </w:tcPr>
          <w:p w14:paraId="2EA63F1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C0C0C0"/>
            <w:noWrap/>
            <w:vAlign w:val="center"/>
          </w:tcPr>
          <w:p w14:paraId="7F97A5E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r>
      <w:tr w14:paraId="3B0B3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00" w:hRule="atLeast"/>
        </w:trPr>
        <w:tc>
          <w:tcPr>
            <w:tcW w:w="0" w:type="auto"/>
            <w:gridSpan w:val="5"/>
            <w:tcBorders>
              <w:top w:val="single" w:color="000000" w:sz="4" w:space="0"/>
              <w:left w:val="single" w:color="000000" w:sz="4" w:space="0"/>
              <w:bottom w:val="single" w:color="000000" w:sz="4" w:space="0"/>
              <w:right w:val="nil"/>
            </w:tcBorders>
            <w:shd w:val="clear" w:color="auto" w:fill="C0C0C0"/>
            <w:noWrap/>
            <w:vAlign w:val="center"/>
          </w:tcPr>
          <w:p w14:paraId="6A53B7A2">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会议扩声系统</w:t>
            </w:r>
          </w:p>
        </w:tc>
      </w:tr>
      <w:tr w14:paraId="32CD2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155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B7BC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会议话筒</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593E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1.数字传输链路，通过网线连接到会议主机级联口供电，非压缩音频传输技术，≥48k采样率，等同或优于80Hz-16kHz带宽音质。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2.采用实体按键签到方式。咪杆尺寸≤240mm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3.单元支持 PC 软件话筒控制，支持声控功能。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4.主席单元具备关闭代表单元发言的优先权限。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5.单元具有TCP/IP协议族，支持ICMP、HTTP、UDP、TCP、IGMP等多种协议。</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6.单元支持PING包功能。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7.单元具有独立的web控制页面，支持调节话筒ID号、话筒灵敏度等参数。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8.单元内部具有声控功能，声控灵敏度可调。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9.单元支持签到功能，也可以通过PC软件禁止单元签到、控制单元签到等功能。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10.单元支持web页面固件升级功能。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11.单元支持IP地址嗅探功能，通过PC工具可以查找到未知单元的ID号、IP地址、MAC地址等参数。</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527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053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487D0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9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804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D786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会议话筒</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3185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1.数字传输链路，通过网线连接到会议主机级联口供电，非压缩音频传输技术，≥48k采样率，等同或优于80Hz-16kHz带宽音质。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2.采用实体按键签到方式。咪杆尺寸≤240mm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3.单元支持 PC 软件话筒控制，支持声控功能。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4.代表机具有申请发言功能，主席可批准申请人发言。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5.单元具有TCP/IP协议族，支持ICMP、HTTP、UDP、TCP、IGMP等多种协议。</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6.单元支持PING包功能。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7.单元具有独立的web控制页面，支持调节话筒ID号、话筒灵敏度等参数。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8.单元内部具有声控功能，声控灵敏度可调。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9.单元支持签到功能，也可以通过PC软件禁止单元签到、控制单元签到等功能。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10.单元支持web页面固件升级功能。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11.单元支持IP地址嗅探功能，通过PC工具可以查找到未知单元的ID号、IP地址、MAC地址等参数。</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03F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420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14:paraId="4FA85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9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A3F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6F71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全数字会议系统主机</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FC9E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1.采用全国产研发核心芯片与元器件，实现100%国产化，同时支持国产操作系统的连接与控制。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2.系统采用高性能DSP处理器，音频采样率≥48kHz，频率响应等同或宽于80Hz~16KHz；采用超五类屏蔽线，确保会议信息长距离传输。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3.集成专业DSP处理功能，具有智能混音、音频矩阵调节、自动增益、反馈抑制、≥31段输出图示均衡（≥8段输出参量均衡）、≥10段输入图示均衡（≥5段输入参量均衡）、闪避器、分频器、音量调节、反相功能。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4.通讯接口包括有≥3路航空接口，≥2路RS-232接口、≥1路RS-485接口、≥3路RJ45网络通信接口、≥1路RJ45内部调试接口、≥1路USB2.0接口；音频输入接口包括有≥1路LINE IN,音频输出接口有≥1路LINE OUT、≥两路SPK OUT，每一路功率≥30W。</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5.设备具有会议发言录音功能；搭配会议话筒可以录制话筒混音输出音频；支持通过主机U盘录音。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系统支持≥24只话筒同时发言，其中支持≥16只有线话筒和≥8只无线话筒同时发言；有线话筒发言人数范围可设置为等同或宽于1至16之间的任意数量，无线话筒发言人数范围可设置为等同或宽于1至8之间的任意数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具有≥3种备份机制；支持主机双机热备功能，可设置一台设备为主机，另一台设置为从机，当主机出现故障时，可自动切换至从机运行，实现双备份功能；支持环形双链路功能，确保在其中的一条网线断开或者单元出问题时，会议能继续正常进行；支持T型链路备份功能，链路中即使多台会议单元出现故障，其他会议单元不受影响，保障会议正常进行。</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8.具有C/S 架构管理软件，客户端软件可运行的操作系统版本≥8种，包括Windows7、Windows10、Windows11、银河麒麟桌面操作系统（兆芯版）、银河麒麟桌面操作系统（飞腾版）、macOS系统、统信UOS、Ubuntu桌面版操作系统。</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9.具有消防报警联动触发接口，触发后火灾报警信息可同步至话筒界面和主机界面，第一时间提醒会场人员紧急撤离，确保参会人员安全。</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7A8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0CB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1F1F2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274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499A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连接线</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B078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≥20米延长线（一公一母）</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A83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651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1434D0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2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D12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B110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插座</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BB4D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1.一进三出连接单元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2.采用 ≥100M/10M 自适应网络传输，可以实现手拉手级联。</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3.每个六芯航空接口支持IEEE802.3、IEEE802.3u、 IEEE802.3x规范。</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463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E33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5CEE5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99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F9E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36B3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音箱</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C308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1.额定功率≥100W</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2.标称阻抗：≤8Ω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3.频率响应：等同或优于150Hz-14KHz@-6dB/80Hz-20KHz@-10dB</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4.灵敏度≥95dB(1M/1W)</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5.垂直覆盖角≥20°，水平覆盖角≥120°@（-6dB）</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898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A6C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r>
      <w:tr w14:paraId="79FE0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99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82D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CBF6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专业功放</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3C27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1.标准≤1U机箱设计，采用D类数字功放设计方案。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2.标准XLR输入接口，和LINK输出口。</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3.电源采用开关电源技术，效率高，有效的抑制电源谐波。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4.内置智能削峰限幅器，支持开机软启动，防止开机时向电网吸收大电流，干扰其它用电设备。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5.具有：过压保护，欠压保护，过流保护，直流保护，输出短路保护，温控风扇等功能。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6.输出功率：立体声@8Ω：≥200W×2；立体声@4Ω：≥400W×2。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E53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CCD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r>
      <w:tr w14:paraId="2297F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99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4E8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DBF1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调音台</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50C2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1.支持≥8路麦克风输入兼容6路线路输入接口，支持≥2路立体声输入接口，≥4路RCA输入，话筒接口幻象电源：+48V。</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2.具有≥2组立体声输出、≥4路编组输出、≥4路辅助输出、≥1个耳机监听输出、≥1个接口双路效果输出 、≥1组控制室输出、≥1组主混音断点插入、≥6个断点插入。</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3.内置≥24位DSP效果器，提供≥100种预设效果。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4.具备≥13个60mm行程的高精密碳膜推子。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5.内置USB声卡模块，支持连接电脑进行音乐播放和声音录音；内置MP3播放器，支持≥1个USB接口接U盘播放音乐。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CA8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270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14:paraId="18D2E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99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9F3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AB4B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抑制器</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2204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1.基于啸叫检测门限更新法，具有移频+陷波反馈抑制功能，可以使用≥48个可编程陷波点。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前面板具有≥48个LED灯陷波状态指示灯（具有≥2×12个静态点和≥2×12个动态点）、≥2英寸IPS真彩显示屏、≥1个编码旋钮；后面板具有≥1个船形开关、≥2路XLR母座+2路TRS母座模拟输入、≥2路XLR公座+2路TRS母座模拟输出、≥1个RJ45接口。</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3.设备具有编码旋钮和≥2.0英寸IPS屏幕，可用于控制和配置设备直通、场景。IPS屏幕能够显示IP地址，输入和输出通道的实时电平。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4.具有设备定位，PC客户端具有一键定位局域网内同类设备功能，被定位到的设备会在显示屏上显示定位信息。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5.设备具有统一集中控制功能，支持≥65535台设备通过软件集中控制。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6.支持多客户端数据同步，≥2个客户端以上连接混音器设备时，可实现多端数据同步。</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反馈抑制器软件可融入会议音频综合管理平台实现音频设备统一管理，平台可扫描数字会议主机、音频处理器、混音器、抑制器、功放类产品在线情况，同款产品多台在线设备也可扫描，并显示设备硬件名称、硬件IP地址、在线、离线状态信息；具备一键上传配置信息至云端或保存本地进行备份和一键还原配置信息功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541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ADA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14:paraId="0051A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99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712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6B83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音频处理器</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943F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后面板具有≥4路线路音频凤凰端子平衡输入接口（具有48V幻象供电）、≥4路线路音频凤凰端子平衡输出接口、≥1个拨码开关、≥1个RJ45接口、≥1个RS232接口、≥1个RS485接口、≥8个可编程GPIO控制接口、≥1个接地柱；前面板具有≥2.0英寸 IPS 真彩显示屏、≥1个编码旋钮、≥1个USB存储设备接口。</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输入通道支持前级放大、信号发生器、扩展器、压缩器、均衡器（≥12段参量均衡、可选10/15/31段图示均衡器可调，图示均衡器可用于单独调节带宽）、闪避器、AGC自动增益、AM自动混音功能（门限式、增益共享式）、AFC自适应反馈消除、AEC回声消除、ANC噪声消除、音频矩阵；输出通道支持均衡器（≥12段参量均衡、可选10/15/31段图示均衡器可调，图示均衡器可用于单独调节带宽）、延时器、分频器、高低通滤波器、限幅器；基于啸叫检测门限更新法，具有移频+陷波组合反馈抑制，可以使用≥24个可编程陷波点，可自由分配动态/静态点，自动/手动切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3.具有矩阵增益调节功能，每个输入通道参与混音的增益可调，增益调节范围等同或优于-72db到12db。</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4.音频处理器具有跨平台软件，可运行于windows操作系统或国产操作系统或macOS系统或统信UOS或Ubuntu桌面版操作系统。</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5.产品具有PC客户端、手机移动端、安卓平板端不同控制方式，可以通同时登入APP软件、PC客户端同时连接设备，并实现多端数据的同步。</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6.设备具有编码旋钮和IPS屏幕，可用于控制和配置设备静音，增益，场景；IPS屏幕能够显示IP地址，输入和输出通道的实时电平。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7.具有设备定位功能，客户端一键定位局域网内同类设备，被定位的设备会显示定位信息。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8.设备具有统一集中控制功能，支持≥65535台设备通过软件集中控制。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音频处理器软件可融入会议音频综合管理平台实现音频设备统一管理，平台可扫描数字会议主机、音频处理器、混音器、抑制器、功放类产品在线情况，同款产品多台在线设备也可扫描，并显示设备硬件名称、硬件IP地址、在线、离线状态信息；具备一键上传配置信息至云端或保存本地进行备份和一键还原配置信息功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A20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A59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14:paraId="6C0A9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99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A77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27E0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电源管理器</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2489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1.支持≥8通道电源时序打开/关闭，每路动作延时时间：≤1秒，支持远程控制（上电+24V直流信号）8通道电源时序打开/关闭—当电源开关处于off位置时有效。支持配置CH1和CH2通道为受控或不受控状态。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2.当远程控制有效时同时控制后板ALARM（报警）端口导通以起到级联控制ALARM（报警）功能。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3.单个通道最大负载功率≥2200W，所有通道负载总功率≥6000W。输出连接器：多用途电源插座。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4.具有≥1路USB接口。</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1C9204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nil"/>
              <w:right w:val="single" w:color="000000" w:sz="4" w:space="0"/>
            </w:tcBorders>
            <w:shd w:val="clear" w:color="auto" w:fill="auto"/>
            <w:vAlign w:val="center"/>
          </w:tcPr>
          <w:p w14:paraId="3B0ABA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14:paraId="76833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99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207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EA67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会议音频综合管理平台软件</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A314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音频综合管理平台集成全数字会议系统软件模块、电子桌牌软件模块、反馈抑制器软件模块、智能混音器软件模块、数字音频处理器软件模块、智控数字专业功放软件模块，各模块打开呈现在状态栏窗口，可快速管理和调用，并具备自动检测音频处理器、智能混音器、反馈抑制器、数字功放设备硬件版本、软件版本功能，检测到有新版本时提供更新提示，用户可以对硬件进行升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音频综合管理平台具有设备扫描功能（包括全数字会议系统、电子桌牌系统、音频处理器、智能混音器、反馈抑制器、数字功放系统硬件设备），可以通过平台扫描所有在线设备，并显示设备硬件名称、硬件IP地址、在线、离线状态等信息；可以针对不同硬件类型选择适用软件版本，并直接下载或打开。</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音频综合管理平台具有应用列表，通过平台可下载全数字会议系统软件模块、电子桌牌软件模块、反馈抑制器软件模块、智能混音器软件模块、数字音频处理器软件模块、智控数字专业功放软件模块，下载后在主界面实时显示，可选择打开应用、卸载应用，应用上移、下移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音频综合管理平台具有软件配置信息备份和还原功能，通过平台可以一键备份全数字会议系统软件模块、反馈抑制器软件模块、智能混音器软件模块、数字音频处理器软件模块、智控数字专业功放软件模块配置信息上传云端或者保存本地；用户可通过平台一键还原备份的数据。</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5.具有全数字会议系统软件模块，软件具有签到、表决、话筒管理、会议管理、语音激励、模拟排位、摄像跟踪、译员机语种及多语言版本等功能。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具有电子桌牌软件模块，软件支持铭牌设置及更新、中英俄多语言版本选择、集中控制、自定义投票表决、无线表决器人员设置、模拟排位、签到表决、IP设置、多服务器大屏投影、一键关机、息屏、清屏、亮屏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7.具有反馈抑制器软件模块，软件支持反馈抑制AFC、场景切换及导入导出、在线固件升级、多设备管理、用户管理、信号选择、模拟输入、模拟输出、陷波器、噪声门、限幅器音频参数配置功能。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8.具有智能混音器软件模块，软件支持多设备管理、≥4场景切换、在线批量升级，分组设置、数据备份、自定义通道名称、自动混音、矩阵、分频器、均衡器、闪避器等音频参数配置调节。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具有数字音频处理器软件模块，软件支持多设备管理、≥8场景切换、在线批量升级、用户管理，恢复出厂设置、备份还原、摄像跟踪、实时啸叫点检测、深度可调陷波器、高精度移频、自动混音、回声消除、限幅器、均衡器、延时器、GPIO设置、串口设置等音频参数配置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具有智控数字专业功放软件模块，软件支持多设备管理、通道复制、桥接模式、灵敏度设置、在线固件批量升级、音量调节、正反向切换、矩阵、输入输出、扩展器、压缩器、限幅器、均衡器、分频器音频参数调节功能。</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14076F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nil"/>
              <w:right w:val="single" w:color="000000" w:sz="4" w:space="0"/>
            </w:tcBorders>
            <w:shd w:val="clear" w:color="auto" w:fill="auto"/>
            <w:vAlign w:val="center"/>
          </w:tcPr>
          <w:p w14:paraId="3BED9E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14:paraId="77D7D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99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675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DD4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430" cy="14605"/>
                  <wp:effectExtent l="0" t="0" r="0" b="0"/>
                  <wp:wrapNone/>
                  <wp:docPr id="51" name="Picture_95"/>
                  <wp:cNvGraphicFramePr/>
                  <a:graphic xmlns:a="http://schemas.openxmlformats.org/drawingml/2006/main">
                    <a:graphicData uri="http://schemas.openxmlformats.org/drawingml/2006/picture">
                      <pic:pic xmlns:pic="http://schemas.openxmlformats.org/drawingml/2006/picture">
                        <pic:nvPicPr>
                          <pic:cNvPr id="51" name="Picture_95"/>
                          <pic:cNvPicPr/>
                        </pic:nvPicPr>
                        <pic:blipFill>
                          <a:blip r:embed="rId6"/>
                          <a:stretch>
                            <a:fillRect/>
                          </a:stretch>
                        </pic:blipFill>
                        <pic:spPr>
                          <a:xfrm>
                            <a:off x="0" y="0"/>
                            <a:ext cx="1143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430" cy="14605"/>
                  <wp:effectExtent l="0" t="0" r="0" b="0"/>
                  <wp:wrapNone/>
                  <wp:docPr id="52" name="Picture_95_SpCnt_1"/>
                  <wp:cNvGraphicFramePr/>
                  <a:graphic xmlns:a="http://schemas.openxmlformats.org/drawingml/2006/main">
                    <a:graphicData uri="http://schemas.openxmlformats.org/drawingml/2006/picture">
                      <pic:pic xmlns:pic="http://schemas.openxmlformats.org/drawingml/2006/picture">
                        <pic:nvPicPr>
                          <pic:cNvPr id="52" name="Picture_95_SpCnt_1"/>
                          <pic:cNvPicPr/>
                        </pic:nvPicPr>
                        <pic:blipFill>
                          <a:blip r:embed="rId6"/>
                          <a:stretch>
                            <a:fillRect/>
                          </a:stretch>
                        </pic:blipFill>
                        <pic:spPr>
                          <a:xfrm>
                            <a:off x="0" y="0"/>
                            <a:ext cx="1143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430" cy="14605"/>
                  <wp:effectExtent l="0" t="0" r="0" b="0"/>
                  <wp:wrapNone/>
                  <wp:docPr id="49" name="Picture_95_SpCnt_2"/>
                  <wp:cNvGraphicFramePr/>
                  <a:graphic xmlns:a="http://schemas.openxmlformats.org/drawingml/2006/main">
                    <a:graphicData uri="http://schemas.openxmlformats.org/drawingml/2006/picture">
                      <pic:pic xmlns:pic="http://schemas.openxmlformats.org/drawingml/2006/picture">
                        <pic:nvPicPr>
                          <pic:cNvPr id="49" name="Picture_95_SpCnt_2"/>
                          <pic:cNvPicPr/>
                        </pic:nvPicPr>
                        <pic:blipFill>
                          <a:blip r:embed="rId6"/>
                          <a:stretch>
                            <a:fillRect/>
                          </a:stretch>
                        </pic:blipFill>
                        <pic:spPr>
                          <a:xfrm>
                            <a:off x="0" y="0"/>
                            <a:ext cx="1143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430" cy="14605"/>
                  <wp:effectExtent l="0" t="0" r="0" b="0"/>
                  <wp:wrapNone/>
                  <wp:docPr id="55" name="Picture_95_SpCnt_3"/>
                  <wp:cNvGraphicFramePr/>
                  <a:graphic xmlns:a="http://schemas.openxmlformats.org/drawingml/2006/main">
                    <a:graphicData uri="http://schemas.openxmlformats.org/drawingml/2006/picture">
                      <pic:pic xmlns:pic="http://schemas.openxmlformats.org/drawingml/2006/picture">
                        <pic:nvPicPr>
                          <pic:cNvPr id="55" name="Picture_95_SpCnt_3"/>
                          <pic:cNvPicPr/>
                        </pic:nvPicPr>
                        <pic:blipFill>
                          <a:blip r:embed="rId6"/>
                          <a:stretch>
                            <a:fillRect/>
                          </a:stretch>
                        </pic:blipFill>
                        <pic:spPr>
                          <a:xfrm>
                            <a:off x="0" y="0"/>
                            <a:ext cx="1143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430" cy="14605"/>
                  <wp:effectExtent l="0" t="0" r="0" b="0"/>
                  <wp:wrapNone/>
                  <wp:docPr id="50" name="Picture_95_SpCnt_4"/>
                  <wp:cNvGraphicFramePr/>
                  <a:graphic xmlns:a="http://schemas.openxmlformats.org/drawingml/2006/main">
                    <a:graphicData uri="http://schemas.openxmlformats.org/drawingml/2006/picture">
                      <pic:pic xmlns:pic="http://schemas.openxmlformats.org/drawingml/2006/picture">
                        <pic:nvPicPr>
                          <pic:cNvPr id="50" name="Picture_95_SpCnt_4"/>
                          <pic:cNvPicPr/>
                        </pic:nvPicPr>
                        <pic:blipFill>
                          <a:blip r:embed="rId6"/>
                          <a:stretch>
                            <a:fillRect/>
                          </a:stretch>
                        </pic:blipFill>
                        <pic:spPr>
                          <a:xfrm>
                            <a:off x="0" y="0"/>
                            <a:ext cx="1143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430" cy="14605"/>
                  <wp:effectExtent l="0" t="0" r="0" b="0"/>
                  <wp:wrapNone/>
                  <wp:docPr id="56" name="Picture_95_SpCnt_5"/>
                  <wp:cNvGraphicFramePr/>
                  <a:graphic xmlns:a="http://schemas.openxmlformats.org/drawingml/2006/main">
                    <a:graphicData uri="http://schemas.openxmlformats.org/drawingml/2006/picture">
                      <pic:pic xmlns:pic="http://schemas.openxmlformats.org/drawingml/2006/picture">
                        <pic:nvPicPr>
                          <pic:cNvPr id="56" name="Picture_95_SpCnt_5"/>
                          <pic:cNvPicPr/>
                        </pic:nvPicPr>
                        <pic:blipFill>
                          <a:blip r:embed="rId6"/>
                          <a:stretch>
                            <a:fillRect/>
                          </a:stretch>
                        </pic:blipFill>
                        <pic:spPr>
                          <a:xfrm>
                            <a:off x="0" y="0"/>
                            <a:ext cx="1143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430" cy="14605"/>
                  <wp:effectExtent l="0" t="0" r="0" b="0"/>
                  <wp:wrapNone/>
                  <wp:docPr id="53" name="Picture_95_SpCnt_6"/>
                  <wp:cNvGraphicFramePr/>
                  <a:graphic xmlns:a="http://schemas.openxmlformats.org/drawingml/2006/main">
                    <a:graphicData uri="http://schemas.openxmlformats.org/drawingml/2006/picture">
                      <pic:pic xmlns:pic="http://schemas.openxmlformats.org/drawingml/2006/picture">
                        <pic:nvPicPr>
                          <pic:cNvPr id="53" name="Picture_95_SpCnt_6"/>
                          <pic:cNvPicPr/>
                        </pic:nvPicPr>
                        <pic:blipFill>
                          <a:blip r:embed="rId6"/>
                          <a:stretch>
                            <a:fillRect/>
                          </a:stretch>
                        </pic:blipFill>
                        <pic:spPr>
                          <a:xfrm>
                            <a:off x="0" y="0"/>
                            <a:ext cx="1143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430" cy="14605"/>
                  <wp:effectExtent l="0" t="0" r="0" b="0"/>
                  <wp:wrapNone/>
                  <wp:docPr id="54" name="Picture_95_SpCnt_7"/>
                  <wp:cNvGraphicFramePr/>
                  <a:graphic xmlns:a="http://schemas.openxmlformats.org/drawingml/2006/main">
                    <a:graphicData uri="http://schemas.openxmlformats.org/drawingml/2006/picture">
                      <pic:pic xmlns:pic="http://schemas.openxmlformats.org/drawingml/2006/picture">
                        <pic:nvPicPr>
                          <pic:cNvPr id="54" name="Picture_95_SpCnt_7"/>
                          <pic:cNvPicPr/>
                        </pic:nvPicPr>
                        <pic:blipFill>
                          <a:blip r:embed="rId6"/>
                          <a:stretch>
                            <a:fillRect/>
                          </a:stretch>
                        </pic:blipFill>
                        <pic:spPr>
                          <a:xfrm>
                            <a:off x="0" y="0"/>
                            <a:ext cx="1143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430" cy="14605"/>
                  <wp:effectExtent l="0" t="0" r="0" b="0"/>
                  <wp:wrapNone/>
                  <wp:docPr id="73" name="Picture_95_SpCnt_8"/>
                  <wp:cNvGraphicFramePr/>
                  <a:graphic xmlns:a="http://schemas.openxmlformats.org/drawingml/2006/main">
                    <a:graphicData uri="http://schemas.openxmlformats.org/drawingml/2006/picture">
                      <pic:pic xmlns:pic="http://schemas.openxmlformats.org/drawingml/2006/picture">
                        <pic:nvPicPr>
                          <pic:cNvPr id="73" name="Picture_95_SpCnt_8"/>
                          <pic:cNvPicPr/>
                        </pic:nvPicPr>
                        <pic:blipFill>
                          <a:blip r:embed="rId6"/>
                          <a:stretch>
                            <a:fillRect/>
                          </a:stretch>
                        </pic:blipFill>
                        <pic:spPr>
                          <a:xfrm>
                            <a:off x="0" y="0"/>
                            <a:ext cx="1143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430" cy="14605"/>
                  <wp:effectExtent l="0" t="0" r="0" b="0"/>
                  <wp:wrapNone/>
                  <wp:docPr id="58" name="Picture_95_SpCnt_9"/>
                  <wp:cNvGraphicFramePr/>
                  <a:graphic xmlns:a="http://schemas.openxmlformats.org/drawingml/2006/main">
                    <a:graphicData uri="http://schemas.openxmlformats.org/drawingml/2006/picture">
                      <pic:pic xmlns:pic="http://schemas.openxmlformats.org/drawingml/2006/picture">
                        <pic:nvPicPr>
                          <pic:cNvPr id="58" name="Picture_95_SpCnt_9"/>
                          <pic:cNvPicPr/>
                        </pic:nvPicPr>
                        <pic:blipFill>
                          <a:blip r:embed="rId6"/>
                          <a:stretch>
                            <a:fillRect/>
                          </a:stretch>
                        </pic:blipFill>
                        <pic:spPr>
                          <a:xfrm>
                            <a:off x="0" y="0"/>
                            <a:ext cx="1143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430" cy="14605"/>
                  <wp:effectExtent l="0" t="0" r="0" b="0"/>
                  <wp:wrapNone/>
                  <wp:docPr id="67" name="Picture_95_SpCnt_10"/>
                  <wp:cNvGraphicFramePr/>
                  <a:graphic xmlns:a="http://schemas.openxmlformats.org/drawingml/2006/main">
                    <a:graphicData uri="http://schemas.openxmlformats.org/drawingml/2006/picture">
                      <pic:pic xmlns:pic="http://schemas.openxmlformats.org/drawingml/2006/picture">
                        <pic:nvPicPr>
                          <pic:cNvPr id="67" name="Picture_95_SpCnt_10"/>
                          <pic:cNvPicPr/>
                        </pic:nvPicPr>
                        <pic:blipFill>
                          <a:blip r:embed="rId6"/>
                          <a:stretch>
                            <a:fillRect/>
                          </a:stretch>
                        </pic:blipFill>
                        <pic:spPr>
                          <a:xfrm>
                            <a:off x="0" y="0"/>
                            <a:ext cx="1143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430" cy="14605"/>
                  <wp:effectExtent l="0" t="0" r="0" b="0"/>
                  <wp:wrapNone/>
                  <wp:docPr id="63" name="Picture_95_SpCnt_11"/>
                  <wp:cNvGraphicFramePr/>
                  <a:graphic xmlns:a="http://schemas.openxmlformats.org/drawingml/2006/main">
                    <a:graphicData uri="http://schemas.openxmlformats.org/drawingml/2006/picture">
                      <pic:pic xmlns:pic="http://schemas.openxmlformats.org/drawingml/2006/picture">
                        <pic:nvPicPr>
                          <pic:cNvPr id="63" name="Picture_95_SpCnt_11"/>
                          <pic:cNvPicPr/>
                        </pic:nvPicPr>
                        <pic:blipFill>
                          <a:blip r:embed="rId6"/>
                          <a:stretch>
                            <a:fillRect/>
                          </a:stretch>
                        </pic:blipFill>
                        <pic:spPr>
                          <a:xfrm>
                            <a:off x="0" y="0"/>
                            <a:ext cx="1143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t>专业会议机柜</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C9F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1.结构：优质2mm冷轧板柜体；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2.通风:顶部配有2个轴流风扇；</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3.底部进风口表面处理：去油、脱脂、酸洗、磷化、静电喷塑；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4.材质：冷轧板；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5.载重：静态载重能力大于300Kg；</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6.尺寸（W×D×H）:600×600×1200mm；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5D2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700" cy="14605"/>
                  <wp:effectExtent l="0" t="0" r="0" b="0"/>
                  <wp:wrapNone/>
                  <wp:docPr id="62" name="Picture_95_SpCnt_12"/>
                  <wp:cNvGraphicFramePr/>
                  <a:graphic xmlns:a="http://schemas.openxmlformats.org/drawingml/2006/main">
                    <a:graphicData uri="http://schemas.openxmlformats.org/drawingml/2006/picture">
                      <pic:pic xmlns:pic="http://schemas.openxmlformats.org/drawingml/2006/picture">
                        <pic:nvPicPr>
                          <pic:cNvPr id="62" name="Picture_95_SpCnt_12"/>
                          <pic:cNvPicPr/>
                        </pic:nvPicPr>
                        <pic:blipFill>
                          <a:blip r:embed="rId6"/>
                          <a:stretch>
                            <a:fillRect/>
                          </a:stretch>
                        </pic:blipFill>
                        <pic:spPr>
                          <a:xfrm>
                            <a:off x="0" y="0"/>
                            <a:ext cx="1270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700" cy="14605"/>
                  <wp:effectExtent l="0" t="0" r="0" b="0"/>
                  <wp:wrapNone/>
                  <wp:docPr id="60" name="Picture_95_SpCnt_13"/>
                  <wp:cNvGraphicFramePr/>
                  <a:graphic xmlns:a="http://schemas.openxmlformats.org/drawingml/2006/main">
                    <a:graphicData uri="http://schemas.openxmlformats.org/drawingml/2006/picture">
                      <pic:pic xmlns:pic="http://schemas.openxmlformats.org/drawingml/2006/picture">
                        <pic:nvPicPr>
                          <pic:cNvPr id="60" name="Picture_95_SpCnt_13"/>
                          <pic:cNvPicPr/>
                        </pic:nvPicPr>
                        <pic:blipFill>
                          <a:blip r:embed="rId6"/>
                          <a:stretch>
                            <a:fillRect/>
                          </a:stretch>
                        </pic:blipFill>
                        <pic:spPr>
                          <a:xfrm>
                            <a:off x="0" y="0"/>
                            <a:ext cx="1270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700" cy="14605"/>
                  <wp:effectExtent l="0" t="0" r="0" b="0"/>
                  <wp:wrapNone/>
                  <wp:docPr id="64" name="Picture_95_SpCnt_14"/>
                  <wp:cNvGraphicFramePr/>
                  <a:graphic xmlns:a="http://schemas.openxmlformats.org/drawingml/2006/main">
                    <a:graphicData uri="http://schemas.openxmlformats.org/drawingml/2006/picture">
                      <pic:pic xmlns:pic="http://schemas.openxmlformats.org/drawingml/2006/picture">
                        <pic:nvPicPr>
                          <pic:cNvPr id="64" name="Picture_95_SpCnt_14"/>
                          <pic:cNvPicPr/>
                        </pic:nvPicPr>
                        <pic:blipFill>
                          <a:blip r:embed="rId6"/>
                          <a:stretch>
                            <a:fillRect/>
                          </a:stretch>
                        </pic:blipFill>
                        <pic:spPr>
                          <a:xfrm>
                            <a:off x="0" y="0"/>
                            <a:ext cx="1270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700" cy="14605"/>
                  <wp:effectExtent l="0" t="0" r="0" b="0"/>
                  <wp:wrapNone/>
                  <wp:docPr id="68" name="Picture_95_SpCnt_15"/>
                  <wp:cNvGraphicFramePr/>
                  <a:graphic xmlns:a="http://schemas.openxmlformats.org/drawingml/2006/main">
                    <a:graphicData uri="http://schemas.openxmlformats.org/drawingml/2006/picture">
                      <pic:pic xmlns:pic="http://schemas.openxmlformats.org/drawingml/2006/picture">
                        <pic:nvPicPr>
                          <pic:cNvPr id="68" name="Picture_95_SpCnt_15"/>
                          <pic:cNvPicPr/>
                        </pic:nvPicPr>
                        <pic:blipFill>
                          <a:blip r:embed="rId6"/>
                          <a:stretch>
                            <a:fillRect/>
                          </a:stretch>
                        </pic:blipFill>
                        <pic:spPr>
                          <a:xfrm>
                            <a:off x="0" y="0"/>
                            <a:ext cx="1270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700" cy="14605"/>
                  <wp:effectExtent l="0" t="0" r="0" b="0"/>
                  <wp:wrapNone/>
                  <wp:docPr id="69" name="Picture_95_SpCnt_16"/>
                  <wp:cNvGraphicFramePr/>
                  <a:graphic xmlns:a="http://schemas.openxmlformats.org/drawingml/2006/main">
                    <a:graphicData uri="http://schemas.openxmlformats.org/drawingml/2006/picture">
                      <pic:pic xmlns:pic="http://schemas.openxmlformats.org/drawingml/2006/picture">
                        <pic:nvPicPr>
                          <pic:cNvPr id="69" name="Picture_95_SpCnt_16"/>
                          <pic:cNvPicPr/>
                        </pic:nvPicPr>
                        <pic:blipFill>
                          <a:blip r:embed="rId6"/>
                          <a:stretch>
                            <a:fillRect/>
                          </a:stretch>
                        </pic:blipFill>
                        <pic:spPr>
                          <a:xfrm>
                            <a:off x="0" y="0"/>
                            <a:ext cx="1270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700" cy="14605"/>
                  <wp:effectExtent l="0" t="0" r="0" b="0"/>
                  <wp:wrapNone/>
                  <wp:docPr id="65" name="Picture_95_SpCnt_17"/>
                  <wp:cNvGraphicFramePr/>
                  <a:graphic xmlns:a="http://schemas.openxmlformats.org/drawingml/2006/main">
                    <a:graphicData uri="http://schemas.openxmlformats.org/drawingml/2006/picture">
                      <pic:pic xmlns:pic="http://schemas.openxmlformats.org/drawingml/2006/picture">
                        <pic:nvPicPr>
                          <pic:cNvPr id="65" name="Picture_95_SpCnt_17"/>
                          <pic:cNvPicPr/>
                        </pic:nvPicPr>
                        <pic:blipFill>
                          <a:blip r:embed="rId6"/>
                          <a:stretch>
                            <a:fillRect/>
                          </a:stretch>
                        </pic:blipFill>
                        <pic:spPr>
                          <a:xfrm>
                            <a:off x="0" y="0"/>
                            <a:ext cx="1270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700" cy="14605"/>
                  <wp:effectExtent l="0" t="0" r="0" b="0"/>
                  <wp:wrapNone/>
                  <wp:docPr id="61" name="Picture_95_SpCnt_18"/>
                  <wp:cNvGraphicFramePr/>
                  <a:graphic xmlns:a="http://schemas.openxmlformats.org/drawingml/2006/main">
                    <a:graphicData uri="http://schemas.openxmlformats.org/drawingml/2006/picture">
                      <pic:pic xmlns:pic="http://schemas.openxmlformats.org/drawingml/2006/picture">
                        <pic:nvPicPr>
                          <pic:cNvPr id="61" name="Picture_95_SpCnt_18"/>
                          <pic:cNvPicPr/>
                        </pic:nvPicPr>
                        <pic:blipFill>
                          <a:blip r:embed="rId6"/>
                          <a:stretch>
                            <a:fillRect/>
                          </a:stretch>
                        </pic:blipFill>
                        <pic:spPr>
                          <a:xfrm>
                            <a:off x="0" y="0"/>
                            <a:ext cx="1270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700" cy="14605"/>
                  <wp:effectExtent l="0" t="0" r="0" b="0"/>
                  <wp:wrapNone/>
                  <wp:docPr id="70" name="Picture_95_SpCnt_19"/>
                  <wp:cNvGraphicFramePr/>
                  <a:graphic xmlns:a="http://schemas.openxmlformats.org/drawingml/2006/main">
                    <a:graphicData uri="http://schemas.openxmlformats.org/drawingml/2006/picture">
                      <pic:pic xmlns:pic="http://schemas.openxmlformats.org/drawingml/2006/picture">
                        <pic:nvPicPr>
                          <pic:cNvPr id="70" name="Picture_95_SpCnt_19"/>
                          <pic:cNvPicPr/>
                        </pic:nvPicPr>
                        <pic:blipFill>
                          <a:blip r:embed="rId6"/>
                          <a:stretch>
                            <a:fillRect/>
                          </a:stretch>
                        </pic:blipFill>
                        <pic:spPr>
                          <a:xfrm>
                            <a:off x="0" y="0"/>
                            <a:ext cx="1270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700" cy="14605"/>
                  <wp:effectExtent l="0" t="0" r="0" b="0"/>
                  <wp:wrapNone/>
                  <wp:docPr id="66" name="Picture_95_SpCnt_20"/>
                  <wp:cNvGraphicFramePr/>
                  <a:graphic xmlns:a="http://schemas.openxmlformats.org/drawingml/2006/main">
                    <a:graphicData uri="http://schemas.openxmlformats.org/drawingml/2006/picture">
                      <pic:pic xmlns:pic="http://schemas.openxmlformats.org/drawingml/2006/picture">
                        <pic:nvPicPr>
                          <pic:cNvPr id="66" name="Picture_95_SpCnt_20"/>
                          <pic:cNvPicPr/>
                        </pic:nvPicPr>
                        <pic:blipFill>
                          <a:blip r:embed="rId6"/>
                          <a:stretch>
                            <a:fillRect/>
                          </a:stretch>
                        </pic:blipFill>
                        <pic:spPr>
                          <a:xfrm>
                            <a:off x="0" y="0"/>
                            <a:ext cx="1270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700" cy="14605"/>
                  <wp:effectExtent l="0" t="0" r="0" b="0"/>
                  <wp:wrapNone/>
                  <wp:docPr id="59" name="Picture_95_SpCnt_21"/>
                  <wp:cNvGraphicFramePr/>
                  <a:graphic xmlns:a="http://schemas.openxmlformats.org/drawingml/2006/main">
                    <a:graphicData uri="http://schemas.openxmlformats.org/drawingml/2006/picture">
                      <pic:pic xmlns:pic="http://schemas.openxmlformats.org/drawingml/2006/picture">
                        <pic:nvPicPr>
                          <pic:cNvPr id="59" name="Picture_95_SpCnt_21"/>
                          <pic:cNvPicPr/>
                        </pic:nvPicPr>
                        <pic:blipFill>
                          <a:blip r:embed="rId6"/>
                          <a:stretch>
                            <a:fillRect/>
                          </a:stretch>
                        </pic:blipFill>
                        <pic:spPr>
                          <a:xfrm>
                            <a:off x="0" y="0"/>
                            <a:ext cx="1270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700" cy="14605"/>
                  <wp:effectExtent l="0" t="0" r="0" b="0"/>
                  <wp:wrapNone/>
                  <wp:docPr id="71" name="Picture_95_SpCnt_22"/>
                  <wp:cNvGraphicFramePr/>
                  <a:graphic xmlns:a="http://schemas.openxmlformats.org/drawingml/2006/main">
                    <a:graphicData uri="http://schemas.openxmlformats.org/drawingml/2006/picture">
                      <pic:pic xmlns:pic="http://schemas.openxmlformats.org/drawingml/2006/picture">
                        <pic:nvPicPr>
                          <pic:cNvPr id="71" name="Picture_95_SpCnt_22"/>
                          <pic:cNvPicPr/>
                        </pic:nvPicPr>
                        <pic:blipFill>
                          <a:blip r:embed="rId6"/>
                          <a:stretch>
                            <a:fillRect/>
                          </a:stretch>
                        </pic:blipFill>
                        <pic:spPr>
                          <a:xfrm>
                            <a:off x="0" y="0"/>
                            <a:ext cx="1270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700" cy="14605"/>
                  <wp:effectExtent l="0" t="0" r="0" b="0"/>
                  <wp:wrapNone/>
                  <wp:docPr id="72" name="Picture_95_SpCnt_23"/>
                  <wp:cNvGraphicFramePr/>
                  <a:graphic xmlns:a="http://schemas.openxmlformats.org/drawingml/2006/main">
                    <a:graphicData uri="http://schemas.openxmlformats.org/drawingml/2006/picture">
                      <pic:pic xmlns:pic="http://schemas.openxmlformats.org/drawingml/2006/picture">
                        <pic:nvPicPr>
                          <pic:cNvPr id="72" name="Picture_95_SpCnt_23"/>
                          <pic:cNvPicPr/>
                        </pic:nvPicPr>
                        <pic:blipFill>
                          <a:blip r:embed="rId6"/>
                          <a:stretch>
                            <a:fillRect/>
                          </a:stretch>
                        </pic:blipFill>
                        <pic:spPr>
                          <a:xfrm>
                            <a:off x="0" y="0"/>
                            <a:ext cx="1270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893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14:paraId="7CB85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99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3DB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D492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户内全彩LED屏      显示屏净尺寸：3.2m*1.76m=5.632m²，屏体分辨率：2560*1408 功率3660W</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C1C0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像素结构：1R1G1B</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像素间距：1.25mm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像素密度：640000点/㎡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维护方式：完全前维护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灯珠尺寸：1010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模组尺寸：320mm × 160mm × 28.6 mm（含磁铁厚度）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模组分辨率：256×128</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模组重量：0.54 kg/块</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信号接口：HUB320 *  8（出货配置为8口接收卡）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防护等级：IP30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套件材质：塑壳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封装品牌：国产铜线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白平衡亮度：500 cd/㎡</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色温：3000-10000 K可调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可视角：160°(H)/160°(V)</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对比度：3000：1</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色度均匀性：± 0.003Cx，Cy之内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亮度均匀性：≥ 97％</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最佳视距：1.6m ~ 4.2m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电源接口：VH4PIN，电源250W推荐带载6张灯板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驱动方式：恒流驱动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换帧频率：60 Hz</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刷新率：3840 Hz</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灰度等级：最大支持16 bit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峰值功耗：450W/㎡</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平均功耗：150W/㎡</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供电要求：AC：200-240V~</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模组供电电压：DC：4.5-5V</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模组峰值功耗：23W</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模组最大电流：5A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工作温度：-10 ℃ ~ 40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工作湿度：10%~80% RH（无冷凝水）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存储温度：-20 ℃ ~ 60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存储湿度：10%~85% RH（无冷凝水）</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47F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9A1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5.632</w:t>
            </w:r>
          </w:p>
        </w:tc>
      </w:tr>
      <w:tr w14:paraId="6D03F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25D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62B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接收卡</w:t>
            </w:r>
          </w:p>
        </w:tc>
        <w:tc>
          <w:tcPr>
            <w:tcW w:w="5070" w:type="dxa"/>
            <w:tcBorders>
              <w:top w:val="single" w:color="000000" w:sz="4" w:space="0"/>
              <w:left w:val="single" w:color="000000" w:sz="4" w:space="0"/>
              <w:bottom w:val="single" w:color="000000" w:sz="4" w:space="0"/>
              <w:right w:val="nil"/>
            </w:tcBorders>
            <w:shd w:val="clear" w:color="auto" w:fill="auto"/>
            <w:vAlign w:val="top"/>
          </w:tcPr>
          <w:p w14:paraId="3FFC1981">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1、最大带载512×512，最多支持40组并行数据</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2、无需转接板，自带10个HUB320F接口，可支持灯板flash功能，同时兼容常规HUB320接口</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3、支持3灯和4灯虚拟像素功能</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BE0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C84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r>
      <w:tr w14:paraId="7BC3E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9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7AB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1402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视频处理器</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7E46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12网口 4K LED异步控制器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1U标准机箱 机架式设计，工业级机箱系统。</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设备前面板具备按键，可支持亮度调节、信源切换。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前面板具备指示灯，可提示设备上电状态、信号接入状态、运行状态等信息。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支持1路视频信号输入，支持HDMI2.0 分辨率4096*2160@60Hz。</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支持帧率自适应，图像采集可支持25HZ~60HZ自适应。</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图像带载输出支持RGB、YUV444 无损画质。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支持12路网口带载输出，带载高达780万像素；单台设备最大带载最大宽度8192，最大高度8192，每网口最大带载65W。</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支持HDMI音视频复合流输入，支持3.5mm音频输出。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支持视频信号输入全屏缩放及自定义缩放，支持信源切换。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支持HDCP 2.2协议的高带宽数字内容保护技术。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支持自定义EDID设置。</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支持双备份，支持双电源备份、发送卡双网口备份，双发送卡双接收卡备份。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支持任意走线、无矩形框架限制。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支持通过客户端等多软件端进行操作支持。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支持屏幕底图配置设置和更换。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支持开机logo配置。</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支持屏幕除湿配置。</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支持遥控器扩展，支持通过遥控器操作控制屏幕显示遥控UI菜单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支持通过按键进行亮度调节等操作。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支持输出画面的亮度、对比度、色温等参数的调整。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支持对屏幕进行逐点校正配置有效消除色差，有效提高显示屏的画质。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支持常规、文稿、广告、视讯、影院、安防等显示模式切换。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支持标准、暖色、冷色等色温模式调节同时可支持自定义色温调节。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支持护眼模式，有效保护观看者视力。</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支持3840 Hz 高刷新率输出，纳秒级响应时间，视频画面更细腻流畅。</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支持查看设备与LED屏幕的带载关系。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支持查看运行过程中屏幕异常的定位。</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支持查看设备运行状态、设备内存、CPU使用率、设备运行温度和网口使用率等参数。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支持异常箱体电压检测、箱体温度检测、设备温度检测。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支持通过RS485接口进行中控及物联网设备对接。</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支持通过控制网口，通过网络SDK、OTAP等协议进行控制指令对接和设备管理。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支持通过控制网口链接多功能卡，实现环境温度检测、环境湿度检测、人体温度传感配合屏幕控制等功能。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内置安卓12系统，2G内存+16G存储空间，可支持多媒体内容的播放。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支持HDMI2.0 环通输出 最大支持4096*2160@60Hz</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支持1路 4K多媒体视频解码 或 6路1080P30Hz多媒体视频解码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支持通过U盘进行节目播放。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音频输入接口数：2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音频输入接口类型：1路HDMI2.0+1路Android内置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音频输出接口数：1</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音频输出接口类型：3.5mm 音频输出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视频输入接口数：2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视频输入接口类型：1路HDMI2.0或1路Android内置</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视频输入最大分辨率：HDMI2.0:4K</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视频输入分辨率：HDMI2.0接口</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最大支持分辨率：4096*2160@60Hz</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最小支持分辨率：320*180@60Hz</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可自定义分辨率，总分辨率不超过 884W@60Hz</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极限宽度：144~8192 对齐方式：2对齐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极限高度：144~8192 对齐方式：1对齐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支持HDCP2.2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不支持隔行信号输入</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视频输入处理特性：处理深度 10 bit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采样格式：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RGB:444</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YUV:444</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YUV:422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YUV:420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视频输出最大分辨率：780W</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视频输出LED带载能力：单网口带载65W</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宽度144~8192;对齐方式：2对齐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高度64~8192;对齐方式：1对齐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最大带载不超过780W</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LED带载接口数：12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LED带载接口类型：RJ45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视频环通输出接口数：1</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视频环通输出接口类型：1路HDMI2.0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视频环通输出分辨率：HDMI2.0接口</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最大支持分辨率：4096*2160@60Hz</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最小支持分辨率：320*180@60Hz</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输出分辨率与视频输入分辨率保持一致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极限宽度：144~8192 对齐方式：2对齐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极限高度：144~8192 对齐方式：1对齐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支持HDCP2.2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运行系统：Android12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内存容量：2GB</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存储容量：16GB</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CPU：4核64位ARM cortex-A55 2.0GHz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WIFI：STA 2.4Ghz  AP2.4&amp;5Ghz</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蓝牙：蓝牙4.0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天线：3*棒状天线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遥控器：支持红外遥控器、射频遥控器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控制网口：2个RJ45，10M/100M/1000M自适应以太网口</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用于连接外部网络，可支持多设备网络级联管理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IR 输入：1个 3.5mm座子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支持红外遥控器接入</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串行接口：1个调试串口（4Pin座子）+1个RS485中控控制串口（凤凰端子绿头插座）+1个RS485光感对接串口（凤凰端子绿头插座）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波特率：115200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数据位：8</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开关键：按键开关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平均功耗：≤29W</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电源接口数：1</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电源接口规格：100～240 VAC, 50/60 Hz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工作温度：0°C ~ 50°C</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存储湿度：10% ～ 90%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工作湿度：10% ～ 90%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存储温度：-10°C ~ 50°C</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5D7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1B2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14:paraId="216AD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9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DC4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EFE1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框架</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B58C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室内钢结构设计</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3B9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2939E">
            <w:pPr>
              <w:keepNext w:val="0"/>
              <w:keepLines w:val="0"/>
              <w:widowControl/>
              <w:suppressLineNumbers w:val="0"/>
              <w:ind w:firstLine="180" w:firstLineChars="100"/>
              <w:jc w:val="both"/>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6.2</w:t>
            </w:r>
          </w:p>
        </w:tc>
      </w:tr>
      <w:tr w14:paraId="41423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9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224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D95C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无线传屏器</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D026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1.标配2个USB传屏器；传屏器可以通过USB接口、TYPE-C接口实现无线传屏功能；TYPE-C接口最大投屏画面分辨率优于或等同于3840p 30帧；投屏器通过USB接口或TYPE-C接口同时完成传输和供电，无线传屏至接收端。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2.内置安卓操作系统，系统版本优于或等同于安卓11，采用配置≥Mali-G52 MP2双核，≥Quad-Core A55四核处理器、≥2G内存、≥16GB存储空间。</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3.具有多国语言界面，支持切换汉语/英语/法语/德语/西班牙语/意大利语。</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4.支持将Windows、Mac OSX、Windows平板、IOS平板/手机、Android平板/手机显示内容以无线形式同屏到任何显示终端上。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5.接收机带载投屏器数量≥16个；同时投屏显示设备≥9个。</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6.接收端具有网络设置功能，可连接外部网络；当手机连接接收端投屏时，仍可无线上网。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7.具有BYOM功能，通过个人电脑运行视频会议软件，调用接收机连接的摄像头、麦克风；把拍摄的画面共享到电脑。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8.具有云端投屏功能，通过WEB端，实现远程投屏功能。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9.Android和iOS操作系统设备可通过投屏软件推送视频、照片、音乐至接收机。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10.支持用户自定义开机界面；支持定时开关机功能，可设置无线投屏主机定时开关机。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11.支持将硬件发射器配置为主控发射器，主控发射器独享投屏，不受其他设备干扰。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12.支持PC电脑、手机、iPad、同时进行镜像反控，可设置多端同时控制或者主持人控制模式。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13.可在手机发射端发言，语音可直接进入音响系统；发言的同时，可共享视频。安卓手机或苹果手机可以被设定为主讲设备，可以对接收端进行控制。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14.输入端口：USB3.0≥1个；USB2.0≥1个；HDMI 2.0（3840p 30帧）≥1个；输出端口：HDMI 2.0（3840p 30帧）≥2个；AUDIO(小三芯接口)≥1个；RJ45≥1个。</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372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0AC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14:paraId="15503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9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B7F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D090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配电柜</w:t>
            </w:r>
          </w:p>
        </w:tc>
        <w:tc>
          <w:tcPr>
            <w:tcW w:w="50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520F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1.额定功率：≥10kW，输出路数：≥3路；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2.输入电压：三相五线制AC380V±10%，频率50Hz±5%；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3.输出电压：单相220VAC；</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4.具备过流、短路、断路、过载、浪涌电气保护措施；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5.具备实体按键、手持遥控器、电脑远控多种控制方式；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6.具备单台、集群管理功能，采用RS485有线以太网远程通信端口，在局域网内任意一台电脑进行控制；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7.具备设置≥4组开关时间，支持每天定时通电和断电功能；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8.具备通过PLC软件实现实时温度、湿度监测，实时烟雾监测，高温、高湿、烟雾告警自动断电；</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9.具备触发告警后，电脑自动强制弹屏提示，PLC模块、电脑蜂鸣器长鸣多种告警方式；</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10.具备继电器回路整体上下电，也可通过PLC软件单独控制每个接触器的上下电；</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11.内置避雷器，具有避雷防雷功能；</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12.PLC软件具备中英文双语切换界面，可运行于银河麒麟、统信、鸿蒙HarmonyOS国产操作系统；</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13.PLC软件具备动保存所有操作记录、告警记录、温湿度运行数据，支持历史记录查询，导出Excel文档；</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48D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EB9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14:paraId="76A07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9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C6D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608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控制电脑主机</w:t>
            </w:r>
          </w:p>
        </w:tc>
        <w:tc>
          <w:tcPr>
            <w:tcW w:w="5070" w:type="dxa"/>
            <w:tcBorders>
              <w:top w:val="single" w:color="000000" w:sz="4" w:space="0"/>
              <w:left w:val="single" w:color="000000" w:sz="4" w:space="0"/>
              <w:bottom w:val="nil"/>
              <w:right w:val="nil"/>
            </w:tcBorders>
            <w:shd w:val="clear" w:color="auto" w:fill="auto"/>
            <w:vAlign w:val="center"/>
          </w:tcPr>
          <w:p w14:paraId="7D6129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M460 i5 13400 8G 512G+21.5显示器</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841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nil"/>
              <w:right w:val="single" w:color="000000" w:sz="4" w:space="0"/>
            </w:tcBorders>
            <w:shd w:val="clear" w:color="auto" w:fill="auto"/>
            <w:vAlign w:val="center"/>
          </w:tcPr>
          <w:p w14:paraId="5CCDF5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14:paraId="11B45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9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6CC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2115" w:type="dxa"/>
            <w:tcBorders>
              <w:top w:val="single" w:color="000000" w:sz="4" w:space="0"/>
              <w:left w:val="single" w:color="000000" w:sz="4" w:space="0"/>
              <w:bottom w:val="single" w:color="auto" w:sz="4" w:space="0"/>
              <w:right w:val="single" w:color="000000" w:sz="4" w:space="0"/>
            </w:tcBorders>
            <w:shd w:val="clear" w:color="auto" w:fill="auto"/>
            <w:vAlign w:val="center"/>
          </w:tcPr>
          <w:p w14:paraId="4C24FB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网关</w:t>
            </w:r>
          </w:p>
        </w:tc>
        <w:tc>
          <w:tcPr>
            <w:tcW w:w="5070" w:type="dxa"/>
            <w:tcBorders>
              <w:top w:val="single" w:color="000000" w:sz="4" w:space="0"/>
              <w:left w:val="single" w:color="000000" w:sz="4" w:space="0"/>
              <w:bottom w:val="single" w:color="auto" w:sz="4" w:space="0"/>
              <w:right w:val="nil"/>
            </w:tcBorders>
            <w:shd w:val="clear" w:color="auto" w:fill="auto"/>
            <w:vAlign w:val="center"/>
          </w:tcPr>
          <w:p w14:paraId="58EF8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5口全千兆PoE路由器，其中固化1个WAN口，4个固化LAN口，整机最大PoE输出54W，单端口最大输出30W，终端带机量100台，最大支持1000Mbps带宽，集成统一网络控制器功能，最大可管理32台AP或网管交换机</w:t>
            </w:r>
          </w:p>
        </w:tc>
        <w:tc>
          <w:tcPr>
            <w:tcW w:w="1140" w:type="dxa"/>
            <w:tcBorders>
              <w:top w:val="single" w:color="000000" w:sz="4" w:space="0"/>
              <w:left w:val="single" w:color="000000" w:sz="4" w:space="0"/>
              <w:bottom w:val="single" w:color="auto" w:sz="4" w:space="0"/>
              <w:right w:val="single" w:color="000000" w:sz="4" w:space="0"/>
            </w:tcBorders>
            <w:shd w:val="clear" w:color="auto" w:fill="auto"/>
            <w:vAlign w:val="center"/>
          </w:tcPr>
          <w:p w14:paraId="7E2E0C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000000" w:sz="4" w:space="0"/>
              <w:left w:val="single" w:color="000000" w:sz="4" w:space="0"/>
              <w:bottom w:val="single" w:color="auto" w:sz="4" w:space="0"/>
              <w:right w:val="single" w:color="000000" w:sz="4" w:space="0"/>
            </w:tcBorders>
            <w:shd w:val="clear" w:color="auto" w:fill="auto"/>
            <w:vAlign w:val="center"/>
          </w:tcPr>
          <w:p w14:paraId="1A13D0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14:paraId="5485A6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940" w:hRule="atLeast"/>
        </w:trPr>
        <w:tc>
          <w:tcPr>
            <w:tcW w:w="0" w:type="auto"/>
            <w:tcBorders>
              <w:top w:val="single" w:color="000000" w:sz="4" w:space="0"/>
              <w:left w:val="single" w:color="000000" w:sz="4" w:space="0"/>
              <w:bottom w:val="single" w:color="000000" w:sz="4" w:space="0"/>
              <w:right w:val="single" w:color="auto" w:sz="4" w:space="0"/>
            </w:tcBorders>
            <w:shd w:val="clear" w:color="auto" w:fill="auto"/>
            <w:noWrap/>
            <w:vAlign w:val="center"/>
          </w:tcPr>
          <w:p w14:paraId="3BE4A8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1523EF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吸顶AP</w:t>
            </w:r>
          </w:p>
        </w:tc>
        <w:tc>
          <w:tcPr>
            <w:tcW w:w="5070" w:type="dxa"/>
            <w:tcBorders>
              <w:top w:val="single" w:color="auto" w:sz="4" w:space="0"/>
              <w:left w:val="single" w:color="auto" w:sz="4" w:space="0"/>
              <w:bottom w:val="single" w:color="auto" w:sz="4" w:space="0"/>
              <w:right w:val="single" w:color="auto" w:sz="4" w:space="0"/>
            </w:tcBorders>
            <w:shd w:val="clear" w:color="auto" w:fill="auto"/>
            <w:vAlign w:val="center"/>
          </w:tcPr>
          <w:p w14:paraId="44A1C8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WiFi 6无线接入点，双频双路，支持802.11ax和MU-MIMO，支持二条空间流技术，2.4G提供最高574Mbps的接入速率，5G提供最高1201Mbps的接入速率，整机提供1.775Gbps的接入速率</w:t>
            </w: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14:paraId="29259A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14:paraId="1DAD3D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14:paraId="11191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EA3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2115" w:type="dxa"/>
            <w:tcBorders>
              <w:top w:val="single" w:color="auto" w:sz="4" w:space="0"/>
              <w:left w:val="single" w:color="000000" w:sz="4" w:space="0"/>
              <w:bottom w:val="single" w:color="auto" w:sz="4" w:space="0"/>
              <w:right w:val="single" w:color="000000" w:sz="4" w:space="0"/>
            </w:tcBorders>
            <w:shd w:val="clear" w:color="auto" w:fill="auto"/>
            <w:vAlign w:val="center"/>
          </w:tcPr>
          <w:p w14:paraId="62CC54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电源保护设备及软件管理平台</w:t>
            </w:r>
          </w:p>
        </w:tc>
        <w:tc>
          <w:tcPr>
            <w:tcW w:w="5070" w:type="dxa"/>
            <w:tcBorders>
              <w:top w:val="single" w:color="auto" w:sz="4" w:space="0"/>
              <w:left w:val="single" w:color="000000" w:sz="4" w:space="0"/>
              <w:bottom w:val="single" w:color="auto" w:sz="4" w:space="0"/>
              <w:right w:val="single" w:color="000000" w:sz="4" w:space="0"/>
            </w:tcBorders>
            <w:shd w:val="clear" w:color="auto" w:fill="auto"/>
            <w:vAlign w:val="center"/>
          </w:tcPr>
          <w:p w14:paraId="3E6EF8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运行温度：工业耐温70℃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芯片：高性能ARM微控制器主控芯片</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供电：市电220V供电</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支持通讯：≧GPRS、WIFI、RJ45</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感应雷最大放电电流：≧10KA、电源防雷功能监测：≧1路、雷击防护寿命统计：≧1路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显示屏：≧2.4寸触摸屏；</w:t>
            </w:r>
            <w:bookmarkStart w:id="0" w:name="_GoBack"/>
            <w:bookmarkEnd w:id="0"/>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市电输入：≧1路、断电监测：≧1路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市电输出：≧1路、负载电流：≦10A</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漏电监测：≧1路、接地通路监测：≧1路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市电电压监测：≧1路、市电电流监测：≧1路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232通信：≧1路、485通信：≧1路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开关量输入：≧1路、硬件尺寸：≤485*210*68mm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安装方式：19寸标准机架式安装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自带时钟、存储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二、软件参数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1、监测内容：输入电压、电流监测，断电监测，防雷寿命、失效告警，漏电监测，接地通断监测</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2、维护方式：用户通过手机扫描设备的二维码进行关注、查询、故障报修：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3、查询浏览方式：手机微信支持GIS地图综合管理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4、告警方式:微信、短信（可选）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5、扩展开发：支持二次开发对接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6、扩展接入设备：485、232通讯设备（如：温湿度传感器、漏水传感器、烟感、UPS等）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7、数    据：支持云存储备份</w:t>
            </w:r>
          </w:p>
        </w:tc>
        <w:tc>
          <w:tcPr>
            <w:tcW w:w="1140" w:type="dxa"/>
            <w:tcBorders>
              <w:top w:val="single" w:color="auto" w:sz="4" w:space="0"/>
              <w:left w:val="single" w:color="000000" w:sz="4" w:space="0"/>
              <w:bottom w:val="single" w:color="auto" w:sz="4" w:space="0"/>
              <w:right w:val="single" w:color="000000" w:sz="4" w:space="0"/>
            </w:tcBorders>
            <w:shd w:val="clear" w:color="auto" w:fill="auto"/>
            <w:vAlign w:val="center"/>
          </w:tcPr>
          <w:p w14:paraId="7A560D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auto" w:sz="4" w:space="0"/>
              <w:left w:val="single" w:color="000000" w:sz="4" w:space="0"/>
              <w:bottom w:val="single" w:color="auto" w:sz="4" w:space="0"/>
              <w:right w:val="single" w:color="000000" w:sz="4" w:space="0"/>
            </w:tcBorders>
            <w:shd w:val="clear" w:color="auto" w:fill="auto"/>
            <w:vAlign w:val="center"/>
          </w:tcPr>
          <w:p w14:paraId="7B83E5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14:paraId="1E3E4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690" w:hRule="atLeast"/>
        </w:trPr>
        <w:tc>
          <w:tcPr>
            <w:tcW w:w="0" w:type="auto"/>
            <w:tcBorders>
              <w:top w:val="single" w:color="000000" w:sz="4" w:space="0"/>
              <w:left w:val="single" w:color="000000" w:sz="4" w:space="0"/>
              <w:bottom w:val="single" w:color="000000" w:sz="4" w:space="0"/>
              <w:right w:val="single" w:color="auto" w:sz="4" w:space="0"/>
            </w:tcBorders>
            <w:shd w:val="clear" w:color="auto" w:fill="auto"/>
            <w:noWrap/>
            <w:vAlign w:val="center"/>
          </w:tcPr>
          <w:p w14:paraId="255449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6B8B38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不间断电源</w:t>
            </w:r>
          </w:p>
        </w:tc>
        <w:tc>
          <w:tcPr>
            <w:tcW w:w="5070" w:type="dxa"/>
            <w:tcBorders>
              <w:top w:val="single" w:color="auto" w:sz="4" w:space="0"/>
              <w:left w:val="single" w:color="auto" w:sz="4" w:space="0"/>
              <w:bottom w:val="single" w:color="auto" w:sz="4" w:space="0"/>
              <w:right w:val="single" w:color="auto" w:sz="4" w:space="0"/>
            </w:tcBorders>
            <w:shd w:val="clear" w:color="auto" w:fill="auto"/>
            <w:vAlign w:val="center"/>
          </w:tcPr>
          <w:p w14:paraId="4B4431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1.双转换纯在线智能UPS，纯正弦波，宽市电输入范围（110V-300V），频率范围46HZ-54HZ；</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2.整机效率：输入电压为额定值，输出为100%额定有功能功率，系统效率≥90%；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3.输出电流峰值系数≥3，整机过载能力：当整机输出功率为额定值的125%时,整机正常工作时间应该≥1min；</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4.输入电压范围220±25%，输入功率因数≥0.95，输入电流谐波成分&lt;5%； 5.输入频率变化范围 50Hz±10%可调，频率跟踪范围（48~52）可调，频率跟踪速率范围应不大于（0.5~1.5）；</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6.LED中英文显示面板，提供各项主机参数、目前UPS工作状态、负载大小、电池容量、输入输出电压、故障情况等；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7.使用环境：20－90%RH，0－40℃（不结露），噪音小于55dB/米；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8.具备RS232或RS485/422、IP、USB标准通讯接口，并提供与通讯接口配套使用的通讯线缆和各种告警信号输出端子；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9.具有抗振动性能，并通过振动试验；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10.在正常使用环境条件下，MTBF大于100000小时（不含蓄电池）；</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11.具有不间断电源智能互动云端平台系统，可通过手机、平板等移动终端全天候监测不间断电源的工作状况；</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12.具有搭配不间断电源使计算机在停电时处于安全休眠状态的功能，可以保护数据安全；</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13.具有广域监控网络功能，</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14.具有数据一键还原功能，</w:t>
            </w: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14:paraId="70EDA9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14:paraId="1E316F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14:paraId="18C22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9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A89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2115" w:type="dxa"/>
            <w:tcBorders>
              <w:top w:val="single" w:color="auto" w:sz="4" w:space="0"/>
              <w:left w:val="single" w:color="000000" w:sz="4" w:space="0"/>
              <w:bottom w:val="single" w:color="000000" w:sz="4" w:space="0"/>
              <w:right w:val="single" w:color="000000" w:sz="4" w:space="0"/>
            </w:tcBorders>
            <w:shd w:val="clear" w:color="auto" w:fill="FFFFFF"/>
            <w:vAlign w:val="center"/>
          </w:tcPr>
          <w:p w14:paraId="07776C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超6类非屏蔽4对双绞线</w:t>
            </w:r>
          </w:p>
        </w:tc>
        <w:tc>
          <w:tcPr>
            <w:tcW w:w="5070" w:type="dxa"/>
            <w:tcBorders>
              <w:top w:val="single" w:color="auto" w:sz="4" w:space="0"/>
              <w:left w:val="single" w:color="000000" w:sz="4" w:space="0"/>
              <w:bottom w:val="single" w:color="000000" w:sz="4" w:space="0"/>
              <w:right w:val="single" w:color="000000" w:sz="4" w:space="0"/>
            </w:tcBorders>
            <w:shd w:val="clear" w:color="auto" w:fill="auto"/>
            <w:vAlign w:val="center"/>
          </w:tcPr>
          <w:p w14:paraId="21AB937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特性阻抗：100±15Ω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单根导体最大电阻：≤9.5Ω/100m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导体间介电强度，DC，1min：1Kv/1min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工作电容最大值：≤5.6nF/100m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线对直流电阻不平衡性：≤2.5%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烟密度，最小透光率（IEC 61034-2)：≥60%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卤酸气体总量（IEC 60754-1)：≤5mg/g</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护套PH值（IEC 60754-2)：≥4.3</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护套电导率（IEC 60754-2）：≤10μs/mm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敷设弯曲半径：建议敷设弯曲半径&gt;8倍线缆外径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敷设拉力：建议敷设时短期拉力&lt;110N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使用拉力：建议使用时长期拉力&lt;20N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施工温度：0～40℃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使用温度：-10～60℃ </w:t>
            </w:r>
          </w:p>
        </w:tc>
        <w:tc>
          <w:tcPr>
            <w:tcW w:w="1140" w:type="dxa"/>
            <w:tcBorders>
              <w:top w:val="single" w:color="auto" w:sz="4" w:space="0"/>
              <w:left w:val="single" w:color="000000" w:sz="4" w:space="0"/>
              <w:bottom w:val="single" w:color="000000" w:sz="4" w:space="0"/>
              <w:right w:val="single" w:color="000000" w:sz="4" w:space="0"/>
            </w:tcBorders>
            <w:shd w:val="clear" w:color="auto" w:fill="auto"/>
            <w:vAlign w:val="center"/>
          </w:tcPr>
          <w:p w14:paraId="248580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870" w:type="dxa"/>
            <w:tcBorders>
              <w:top w:val="single" w:color="auto" w:sz="4" w:space="0"/>
              <w:left w:val="single" w:color="000000" w:sz="4" w:space="0"/>
              <w:bottom w:val="nil"/>
              <w:right w:val="single" w:color="000000" w:sz="4" w:space="0"/>
            </w:tcBorders>
            <w:shd w:val="clear" w:color="auto" w:fill="auto"/>
            <w:vAlign w:val="center"/>
          </w:tcPr>
          <w:p w14:paraId="40B266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w:t>
            </w:r>
          </w:p>
        </w:tc>
      </w:tr>
      <w:tr w14:paraId="716A8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260" w:hRule="atLeast"/>
        </w:trPr>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5CEB56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2115" w:type="dxa"/>
            <w:tcBorders>
              <w:top w:val="single" w:color="000000" w:sz="4" w:space="0"/>
              <w:left w:val="single" w:color="000000" w:sz="4" w:space="0"/>
              <w:bottom w:val="single" w:color="auto" w:sz="4" w:space="0"/>
              <w:right w:val="single" w:color="000000" w:sz="4" w:space="0"/>
            </w:tcBorders>
            <w:shd w:val="clear" w:color="auto" w:fill="FFFFFF"/>
            <w:vAlign w:val="center"/>
          </w:tcPr>
          <w:p w14:paraId="32F213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RVV3*</w:t>
            </w:r>
            <w:r>
              <w:rPr>
                <w:rFonts w:hint="eastAsia" w:ascii="宋体" w:hAnsi="宋体" w:cs="宋体"/>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电源线</w:t>
            </w:r>
          </w:p>
        </w:tc>
        <w:tc>
          <w:tcPr>
            <w:tcW w:w="5070" w:type="dxa"/>
            <w:tcBorders>
              <w:top w:val="single" w:color="000000" w:sz="4" w:space="0"/>
              <w:left w:val="single" w:color="000000" w:sz="4" w:space="0"/>
              <w:bottom w:val="single" w:color="auto" w:sz="4" w:space="0"/>
              <w:right w:val="single" w:color="000000" w:sz="4" w:space="0"/>
            </w:tcBorders>
            <w:shd w:val="clear" w:color="auto" w:fill="FFFFFF"/>
            <w:vAlign w:val="center"/>
          </w:tcPr>
          <w:p w14:paraId="0B2E0A2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1：导体采用高纯度无氧铜，20℃时导体电阻≤13.3Ω/KM；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2：绝缘和护套均采用绿色环保塑料；芯线颜色棕、蓝、黄/绿色；护套颜色黑色；70℃时绝缘电阻≥0.010MΩ*KM；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绝缘、护套老化前抗张强度≥10.0N/mm2,绝缘、护套老化前断裂伸长率≥150N/mm2,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3：为满足绿色环保需求，禁止使用易燃物质PP聚丙烯绳作为填充材料；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4：为满足施工过程中的抗拉耐磨性，护套需采用挤压工艺；</w:t>
            </w:r>
          </w:p>
        </w:tc>
        <w:tc>
          <w:tcPr>
            <w:tcW w:w="1140" w:type="dxa"/>
            <w:tcBorders>
              <w:top w:val="single" w:color="000000" w:sz="4" w:space="0"/>
              <w:left w:val="single" w:color="000000" w:sz="4" w:space="0"/>
              <w:bottom w:val="single" w:color="auto" w:sz="4" w:space="0"/>
              <w:right w:val="single" w:color="000000" w:sz="4" w:space="0"/>
            </w:tcBorders>
            <w:shd w:val="clear" w:color="auto" w:fill="auto"/>
            <w:vAlign w:val="center"/>
          </w:tcPr>
          <w:p w14:paraId="774972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870" w:type="dxa"/>
            <w:tcBorders>
              <w:top w:val="single" w:color="000000" w:sz="4" w:space="0"/>
              <w:left w:val="single" w:color="000000" w:sz="4" w:space="0"/>
              <w:bottom w:val="single" w:color="auto" w:sz="4" w:space="0"/>
              <w:right w:val="single" w:color="000000" w:sz="4" w:space="0"/>
            </w:tcBorders>
            <w:shd w:val="clear" w:color="auto" w:fill="auto"/>
            <w:vAlign w:val="center"/>
          </w:tcPr>
          <w:p w14:paraId="0C8F84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00</w:t>
            </w:r>
          </w:p>
        </w:tc>
      </w:tr>
      <w:tr w14:paraId="03324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6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1678B9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141DDE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铝扣板</w:t>
            </w:r>
          </w:p>
        </w:tc>
        <w:tc>
          <w:tcPr>
            <w:tcW w:w="5070" w:type="dxa"/>
            <w:tcBorders>
              <w:top w:val="single" w:color="auto" w:sz="4" w:space="0"/>
              <w:left w:val="single" w:color="auto" w:sz="4" w:space="0"/>
              <w:bottom w:val="single" w:color="auto" w:sz="4" w:space="0"/>
              <w:right w:val="single" w:color="auto" w:sz="4" w:space="0"/>
            </w:tcBorders>
            <w:shd w:val="clear" w:color="auto" w:fill="auto"/>
            <w:vAlign w:val="center"/>
          </w:tcPr>
          <w:p w14:paraId="0F4F535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600*600</w:t>
            </w: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14:paraId="2DE15F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14:paraId="4F9856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77.00 </w:t>
            </w:r>
          </w:p>
        </w:tc>
      </w:tr>
      <w:tr w14:paraId="4142D8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2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0DE514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10071B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平板灯</w:t>
            </w:r>
          </w:p>
        </w:tc>
        <w:tc>
          <w:tcPr>
            <w:tcW w:w="5070" w:type="dxa"/>
            <w:tcBorders>
              <w:top w:val="single" w:color="auto" w:sz="4" w:space="0"/>
              <w:left w:val="single" w:color="auto" w:sz="4" w:space="0"/>
              <w:bottom w:val="single" w:color="auto" w:sz="4" w:space="0"/>
              <w:right w:val="single" w:color="auto" w:sz="4" w:space="0"/>
            </w:tcBorders>
            <w:shd w:val="clear" w:color="auto" w:fill="auto"/>
            <w:vAlign w:val="center"/>
          </w:tcPr>
          <w:p w14:paraId="160A6EA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600*600</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7EF772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14:paraId="251096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r>
      <w:tr w14:paraId="1F0FBC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2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11CAA2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3345E4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双开隔音门</w:t>
            </w:r>
          </w:p>
        </w:tc>
        <w:tc>
          <w:tcPr>
            <w:tcW w:w="5070" w:type="dxa"/>
            <w:tcBorders>
              <w:top w:val="single" w:color="auto" w:sz="4" w:space="0"/>
              <w:left w:val="single" w:color="auto" w:sz="4" w:space="0"/>
              <w:bottom w:val="single" w:color="auto" w:sz="4" w:space="0"/>
              <w:right w:val="single" w:color="auto" w:sz="4" w:space="0"/>
            </w:tcBorders>
            <w:shd w:val="clear" w:color="auto" w:fill="auto"/>
            <w:vAlign w:val="center"/>
          </w:tcPr>
          <w:p w14:paraId="293344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双开</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0228CF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檀</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14:paraId="606055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14:paraId="684782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4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10987F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52F243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智能电动窗帘</w:t>
            </w:r>
          </w:p>
        </w:tc>
        <w:tc>
          <w:tcPr>
            <w:tcW w:w="5070" w:type="dxa"/>
            <w:tcBorders>
              <w:top w:val="single" w:color="auto" w:sz="4" w:space="0"/>
              <w:left w:val="single" w:color="auto" w:sz="4" w:space="0"/>
              <w:bottom w:val="single" w:color="auto" w:sz="4" w:space="0"/>
              <w:right w:val="single" w:color="auto" w:sz="4" w:space="0"/>
            </w:tcBorders>
            <w:shd w:val="clear" w:color="auto" w:fill="auto"/>
            <w:vAlign w:val="center"/>
          </w:tcPr>
          <w:p w14:paraId="105B692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含轨道、电机、窗帘布、控制模块等</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483CE8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14:paraId="33D6B1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r>
      <w:tr w14:paraId="6CB05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520" w:hRule="atLeast"/>
        </w:trPr>
        <w:tc>
          <w:tcPr>
            <w:tcW w:w="0" w:type="auto"/>
            <w:tcBorders>
              <w:top w:val="single" w:color="auto" w:sz="4" w:space="0"/>
              <w:left w:val="single" w:color="000000" w:sz="4" w:space="0"/>
              <w:bottom w:val="single" w:color="auto" w:sz="4" w:space="0"/>
              <w:right w:val="single" w:color="000000" w:sz="4" w:space="0"/>
            </w:tcBorders>
            <w:shd w:val="clear" w:color="auto" w:fill="auto"/>
            <w:noWrap/>
            <w:vAlign w:val="center"/>
          </w:tcPr>
          <w:p w14:paraId="637F0A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2115" w:type="dxa"/>
            <w:tcBorders>
              <w:top w:val="single" w:color="auto" w:sz="4" w:space="0"/>
              <w:left w:val="single" w:color="000000" w:sz="4" w:space="0"/>
              <w:bottom w:val="single" w:color="auto" w:sz="4" w:space="0"/>
              <w:right w:val="single" w:color="000000" w:sz="4" w:space="0"/>
            </w:tcBorders>
            <w:shd w:val="clear" w:color="auto" w:fill="auto"/>
            <w:vAlign w:val="center"/>
          </w:tcPr>
          <w:p w14:paraId="06616B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频会议终端（1台XT602 C，1台V212摄像头，1台A300全向数字麦克）</w:t>
            </w:r>
          </w:p>
        </w:tc>
        <w:tc>
          <w:tcPr>
            <w:tcW w:w="5070" w:type="dxa"/>
            <w:tcBorders>
              <w:top w:val="single" w:color="auto" w:sz="4" w:space="0"/>
              <w:left w:val="single" w:color="000000" w:sz="4" w:space="0"/>
              <w:bottom w:val="single" w:color="auto" w:sz="4" w:space="0"/>
              <w:right w:val="single" w:color="000000" w:sz="4" w:space="0"/>
            </w:tcBorders>
            <w:shd w:val="clear" w:color="auto" w:fill="auto"/>
            <w:vAlign w:val="center"/>
          </w:tcPr>
          <w:p w14:paraId="4CADF05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1、多媒体框架协议  ITU-T H.323、IETF SIP               2、视频编解码协议  H.265、H.264BP、H.264 HP、H.263（仅辅流）                                                            3、音频编解码协议  G.711A、G.711U、G.722、G.719、G.722.1、G.722.1C、AAC-LD、AAC-LD立体声、ZTE_BA、ZTE_BA立体声                                                 4、双流标准  ITU-T H.239、IEFT BFCP                                5、其他通信协议  H.225、 H.231、 H.233、 H.234、 H.235、H.241、 H.242、 H.243、 H.245、 H.281、H.283         6、网络传输协议  TCP/IP、DHCP、SSH、HTTPS               7、H.320、H.323远端摄像机控制  H.281、H.224               8、呼叫带宽  64kbps～8Mbps                                       9、活动图像分辨率  1080p60、1080p30、720p60、1440*900@60、1366*768@60、1280*1024@60、1280*800@60、1024*768@60                                                        10、双流分辨率 1080p60+1080p30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（可通过软件包升级支持1080P60+ 1080p60）                11、红外遥控接收 NEC码制标准                                12、图像传感器  1/2.7英寸, 207万像素，16:9             13、分辨率  1920*1080 60fps                                 14、镜头  光学变焦12倍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f＝3.5～42.3mm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水平视角：6.9°（窄角）72.5°（广角）                                 15、硬件接口 HDMI，USB2.0，3G-SDI</w:t>
            </w:r>
          </w:p>
        </w:tc>
        <w:tc>
          <w:tcPr>
            <w:tcW w:w="0" w:type="auto"/>
            <w:tcBorders>
              <w:top w:val="single" w:color="auto" w:sz="4" w:space="0"/>
              <w:left w:val="single" w:color="000000" w:sz="4" w:space="0"/>
              <w:bottom w:val="single" w:color="auto" w:sz="4" w:space="0"/>
              <w:right w:val="single" w:color="000000" w:sz="4" w:space="0"/>
            </w:tcBorders>
            <w:shd w:val="clear" w:color="auto" w:fill="auto"/>
            <w:noWrap/>
            <w:vAlign w:val="center"/>
          </w:tcPr>
          <w:p w14:paraId="270B98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auto" w:sz="4" w:space="0"/>
              <w:left w:val="single" w:color="000000" w:sz="4" w:space="0"/>
              <w:bottom w:val="single" w:color="auto" w:sz="4" w:space="0"/>
              <w:right w:val="single" w:color="000000" w:sz="4" w:space="0"/>
            </w:tcBorders>
            <w:shd w:val="clear" w:color="auto" w:fill="auto"/>
            <w:vAlign w:val="center"/>
          </w:tcPr>
          <w:p w14:paraId="74C9BF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14:paraId="1048B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0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681F27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41F0ED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430" cy="14605"/>
                  <wp:effectExtent l="0" t="0" r="0" b="0"/>
                  <wp:wrapNone/>
                  <wp:docPr id="57" name="Picture_95_SpCnt_24"/>
                  <wp:cNvGraphicFramePr/>
                  <a:graphic xmlns:a="http://schemas.openxmlformats.org/drawingml/2006/main">
                    <a:graphicData uri="http://schemas.openxmlformats.org/drawingml/2006/picture">
                      <pic:pic xmlns:pic="http://schemas.openxmlformats.org/drawingml/2006/picture">
                        <pic:nvPicPr>
                          <pic:cNvPr id="57" name="Picture_95_SpCnt_24"/>
                          <pic:cNvPicPr/>
                        </pic:nvPicPr>
                        <pic:blipFill>
                          <a:blip r:embed="rId7"/>
                          <a:stretch>
                            <a:fillRect/>
                          </a:stretch>
                        </pic:blipFill>
                        <pic:spPr>
                          <a:xfrm>
                            <a:off x="0" y="0"/>
                            <a:ext cx="1143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430" cy="14605"/>
                  <wp:effectExtent l="0" t="0" r="0" b="0"/>
                  <wp:wrapNone/>
                  <wp:docPr id="84" name="Picture_95_SpCnt_25"/>
                  <wp:cNvGraphicFramePr/>
                  <a:graphic xmlns:a="http://schemas.openxmlformats.org/drawingml/2006/main">
                    <a:graphicData uri="http://schemas.openxmlformats.org/drawingml/2006/picture">
                      <pic:pic xmlns:pic="http://schemas.openxmlformats.org/drawingml/2006/picture">
                        <pic:nvPicPr>
                          <pic:cNvPr id="84" name="Picture_95_SpCnt_25"/>
                          <pic:cNvPicPr/>
                        </pic:nvPicPr>
                        <pic:blipFill>
                          <a:blip r:embed="rId7"/>
                          <a:stretch>
                            <a:fillRect/>
                          </a:stretch>
                        </pic:blipFill>
                        <pic:spPr>
                          <a:xfrm>
                            <a:off x="0" y="0"/>
                            <a:ext cx="1143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430" cy="14605"/>
                  <wp:effectExtent l="0" t="0" r="0" b="0"/>
                  <wp:wrapNone/>
                  <wp:docPr id="85" name="Picture_95_SpCnt_26"/>
                  <wp:cNvGraphicFramePr/>
                  <a:graphic xmlns:a="http://schemas.openxmlformats.org/drawingml/2006/main">
                    <a:graphicData uri="http://schemas.openxmlformats.org/drawingml/2006/picture">
                      <pic:pic xmlns:pic="http://schemas.openxmlformats.org/drawingml/2006/picture">
                        <pic:nvPicPr>
                          <pic:cNvPr id="85" name="Picture_95_SpCnt_26"/>
                          <pic:cNvPicPr/>
                        </pic:nvPicPr>
                        <pic:blipFill>
                          <a:blip r:embed="rId7"/>
                          <a:stretch>
                            <a:fillRect/>
                          </a:stretch>
                        </pic:blipFill>
                        <pic:spPr>
                          <a:xfrm>
                            <a:off x="0" y="0"/>
                            <a:ext cx="1143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430" cy="14605"/>
                  <wp:effectExtent l="0" t="0" r="0" b="0"/>
                  <wp:wrapNone/>
                  <wp:docPr id="78" name="Picture_95_SpCnt_27"/>
                  <wp:cNvGraphicFramePr/>
                  <a:graphic xmlns:a="http://schemas.openxmlformats.org/drawingml/2006/main">
                    <a:graphicData uri="http://schemas.openxmlformats.org/drawingml/2006/picture">
                      <pic:pic xmlns:pic="http://schemas.openxmlformats.org/drawingml/2006/picture">
                        <pic:nvPicPr>
                          <pic:cNvPr id="78" name="Picture_95_SpCnt_27"/>
                          <pic:cNvPicPr/>
                        </pic:nvPicPr>
                        <pic:blipFill>
                          <a:blip r:embed="rId7"/>
                          <a:stretch>
                            <a:fillRect/>
                          </a:stretch>
                        </pic:blipFill>
                        <pic:spPr>
                          <a:xfrm>
                            <a:off x="0" y="0"/>
                            <a:ext cx="1143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430" cy="14605"/>
                  <wp:effectExtent l="0" t="0" r="0" b="0"/>
                  <wp:wrapNone/>
                  <wp:docPr id="75" name="Picture_95_SpCnt_28"/>
                  <wp:cNvGraphicFramePr/>
                  <a:graphic xmlns:a="http://schemas.openxmlformats.org/drawingml/2006/main">
                    <a:graphicData uri="http://schemas.openxmlformats.org/drawingml/2006/picture">
                      <pic:pic xmlns:pic="http://schemas.openxmlformats.org/drawingml/2006/picture">
                        <pic:nvPicPr>
                          <pic:cNvPr id="75" name="Picture_95_SpCnt_28"/>
                          <pic:cNvPicPr/>
                        </pic:nvPicPr>
                        <pic:blipFill>
                          <a:blip r:embed="rId7"/>
                          <a:stretch>
                            <a:fillRect/>
                          </a:stretch>
                        </pic:blipFill>
                        <pic:spPr>
                          <a:xfrm>
                            <a:off x="0" y="0"/>
                            <a:ext cx="1143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430" cy="14605"/>
                  <wp:effectExtent l="0" t="0" r="0" b="0"/>
                  <wp:wrapNone/>
                  <wp:docPr id="79" name="Picture_95_SpCnt_29"/>
                  <wp:cNvGraphicFramePr/>
                  <a:graphic xmlns:a="http://schemas.openxmlformats.org/drawingml/2006/main">
                    <a:graphicData uri="http://schemas.openxmlformats.org/drawingml/2006/picture">
                      <pic:pic xmlns:pic="http://schemas.openxmlformats.org/drawingml/2006/picture">
                        <pic:nvPicPr>
                          <pic:cNvPr id="79" name="Picture_95_SpCnt_29"/>
                          <pic:cNvPicPr/>
                        </pic:nvPicPr>
                        <pic:blipFill>
                          <a:blip r:embed="rId7"/>
                          <a:stretch>
                            <a:fillRect/>
                          </a:stretch>
                        </pic:blipFill>
                        <pic:spPr>
                          <a:xfrm>
                            <a:off x="0" y="0"/>
                            <a:ext cx="1143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430" cy="14605"/>
                  <wp:effectExtent l="0" t="0" r="0" b="0"/>
                  <wp:wrapNone/>
                  <wp:docPr id="86" name="Picture_95_SpCnt_30"/>
                  <wp:cNvGraphicFramePr/>
                  <a:graphic xmlns:a="http://schemas.openxmlformats.org/drawingml/2006/main">
                    <a:graphicData uri="http://schemas.openxmlformats.org/drawingml/2006/picture">
                      <pic:pic xmlns:pic="http://schemas.openxmlformats.org/drawingml/2006/picture">
                        <pic:nvPicPr>
                          <pic:cNvPr id="86" name="Picture_95_SpCnt_30"/>
                          <pic:cNvPicPr/>
                        </pic:nvPicPr>
                        <pic:blipFill>
                          <a:blip r:embed="rId7"/>
                          <a:stretch>
                            <a:fillRect/>
                          </a:stretch>
                        </pic:blipFill>
                        <pic:spPr>
                          <a:xfrm>
                            <a:off x="0" y="0"/>
                            <a:ext cx="1143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430" cy="14605"/>
                  <wp:effectExtent l="0" t="0" r="0" b="0"/>
                  <wp:wrapNone/>
                  <wp:docPr id="80" name="Picture_95_SpCnt_31"/>
                  <wp:cNvGraphicFramePr/>
                  <a:graphic xmlns:a="http://schemas.openxmlformats.org/drawingml/2006/main">
                    <a:graphicData uri="http://schemas.openxmlformats.org/drawingml/2006/picture">
                      <pic:pic xmlns:pic="http://schemas.openxmlformats.org/drawingml/2006/picture">
                        <pic:nvPicPr>
                          <pic:cNvPr id="80" name="Picture_95_SpCnt_31"/>
                          <pic:cNvPicPr/>
                        </pic:nvPicPr>
                        <pic:blipFill>
                          <a:blip r:embed="rId7"/>
                          <a:stretch>
                            <a:fillRect/>
                          </a:stretch>
                        </pic:blipFill>
                        <pic:spPr>
                          <a:xfrm>
                            <a:off x="0" y="0"/>
                            <a:ext cx="1143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430" cy="14605"/>
                  <wp:effectExtent l="0" t="0" r="0" b="0"/>
                  <wp:wrapNone/>
                  <wp:docPr id="74" name="Picture_95_SpCnt_32"/>
                  <wp:cNvGraphicFramePr/>
                  <a:graphic xmlns:a="http://schemas.openxmlformats.org/drawingml/2006/main">
                    <a:graphicData uri="http://schemas.openxmlformats.org/drawingml/2006/picture">
                      <pic:pic xmlns:pic="http://schemas.openxmlformats.org/drawingml/2006/picture">
                        <pic:nvPicPr>
                          <pic:cNvPr id="74" name="Picture_95_SpCnt_32"/>
                          <pic:cNvPicPr/>
                        </pic:nvPicPr>
                        <pic:blipFill>
                          <a:blip r:embed="rId7"/>
                          <a:stretch>
                            <a:fillRect/>
                          </a:stretch>
                        </pic:blipFill>
                        <pic:spPr>
                          <a:xfrm>
                            <a:off x="0" y="0"/>
                            <a:ext cx="1143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430" cy="14605"/>
                  <wp:effectExtent l="0" t="0" r="0" b="0"/>
                  <wp:wrapNone/>
                  <wp:docPr id="87" name="Picture_95_SpCnt_33"/>
                  <wp:cNvGraphicFramePr/>
                  <a:graphic xmlns:a="http://schemas.openxmlformats.org/drawingml/2006/main">
                    <a:graphicData uri="http://schemas.openxmlformats.org/drawingml/2006/picture">
                      <pic:pic xmlns:pic="http://schemas.openxmlformats.org/drawingml/2006/picture">
                        <pic:nvPicPr>
                          <pic:cNvPr id="87" name="Picture_95_SpCnt_33"/>
                          <pic:cNvPicPr/>
                        </pic:nvPicPr>
                        <pic:blipFill>
                          <a:blip r:embed="rId7"/>
                          <a:stretch>
                            <a:fillRect/>
                          </a:stretch>
                        </pic:blipFill>
                        <pic:spPr>
                          <a:xfrm>
                            <a:off x="0" y="0"/>
                            <a:ext cx="1143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430" cy="14605"/>
                  <wp:effectExtent l="0" t="0" r="0" b="0"/>
                  <wp:wrapNone/>
                  <wp:docPr id="81" name="Picture_95_SpCnt_34"/>
                  <wp:cNvGraphicFramePr/>
                  <a:graphic xmlns:a="http://schemas.openxmlformats.org/drawingml/2006/main">
                    <a:graphicData uri="http://schemas.openxmlformats.org/drawingml/2006/picture">
                      <pic:pic xmlns:pic="http://schemas.openxmlformats.org/drawingml/2006/picture">
                        <pic:nvPicPr>
                          <pic:cNvPr id="81" name="Picture_95_SpCnt_34"/>
                          <pic:cNvPicPr/>
                        </pic:nvPicPr>
                        <pic:blipFill>
                          <a:blip r:embed="rId7"/>
                          <a:stretch>
                            <a:fillRect/>
                          </a:stretch>
                        </pic:blipFill>
                        <pic:spPr>
                          <a:xfrm>
                            <a:off x="0" y="0"/>
                            <a:ext cx="1143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430" cy="14605"/>
                  <wp:effectExtent l="0" t="0" r="0" b="0"/>
                  <wp:wrapNone/>
                  <wp:docPr id="88" name="Picture_95_SpCnt_35"/>
                  <wp:cNvGraphicFramePr/>
                  <a:graphic xmlns:a="http://schemas.openxmlformats.org/drawingml/2006/main">
                    <a:graphicData uri="http://schemas.openxmlformats.org/drawingml/2006/picture">
                      <pic:pic xmlns:pic="http://schemas.openxmlformats.org/drawingml/2006/picture">
                        <pic:nvPicPr>
                          <pic:cNvPr id="88" name="Picture_95_SpCnt_35"/>
                          <pic:cNvPicPr/>
                        </pic:nvPicPr>
                        <pic:blipFill>
                          <a:blip r:embed="rId7"/>
                          <a:stretch>
                            <a:fillRect/>
                          </a:stretch>
                        </pic:blipFill>
                        <pic:spPr>
                          <a:xfrm>
                            <a:off x="0" y="0"/>
                            <a:ext cx="1143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t>辅材、线材</w:t>
            </w:r>
          </w:p>
        </w:tc>
        <w:tc>
          <w:tcPr>
            <w:tcW w:w="5070" w:type="dxa"/>
            <w:tcBorders>
              <w:top w:val="single" w:color="auto" w:sz="4" w:space="0"/>
              <w:left w:val="single" w:color="auto" w:sz="4" w:space="0"/>
              <w:bottom w:val="single" w:color="auto" w:sz="4" w:space="0"/>
              <w:right w:val="single" w:color="auto" w:sz="4" w:space="0"/>
            </w:tcBorders>
            <w:shd w:val="clear" w:color="auto" w:fill="auto"/>
            <w:vAlign w:val="center"/>
          </w:tcPr>
          <w:p w14:paraId="1211C0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音频连接线，音响接头等等</w:t>
            </w: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14:paraId="6D52B8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700" cy="14605"/>
                  <wp:effectExtent l="0" t="0" r="0" b="0"/>
                  <wp:wrapNone/>
                  <wp:docPr id="89" name="Picture_95_SpCnt_36"/>
                  <wp:cNvGraphicFramePr/>
                  <a:graphic xmlns:a="http://schemas.openxmlformats.org/drawingml/2006/main">
                    <a:graphicData uri="http://schemas.openxmlformats.org/drawingml/2006/picture">
                      <pic:pic xmlns:pic="http://schemas.openxmlformats.org/drawingml/2006/picture">
                        <pic:nvPicPr>
                          <pic:cNvPr id="89" name="Picture_95_SpCnt_36"/>
                          <pic:cNvPicPr/>
                        </pic:nvPicPr>
                        <pic:blipFill>
                          <a:blip r:embed="rId7"/>
                          <a:stretch>
                            <a:fillRect/>
                          </a:stretch>
                        </pic:blipFill>
                        <pic:spPr>
                          <a:xfrm>
                            <a:off x="0" y="0"/>
                            <a:ext cx="1270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700" cy="14605"/>
                  <wp:effectExtent l="0" t="0" r="0" b="0"/>
                  <wp:wrapNone/>
                  <wp:docPr id="90" name="Picture_95_SpCnt_37"/>
                  <wp:cNvGraphicFramePr/>
                  <a:graphic xmlns:a="http://schemas.openxmlformats.org/drawingml/2006/main">
                    <a:graphicData uri="http://schemas.openxmlformats.org/drawingml/2006/picture">
                      <pic:pic xmlns:pic="http://schemas.openxmlformats.org/drawingml/2006/picture">
                        <pic:nvPicPr>
                          <pic:cNvPr id="90" name="Picture_95_SpCnt_37"/>
                          <pic:cNvPicPr/>
                        </pic:nvPicPr>
                        <pic:blipFill>
                          <a:blip r:embed="rId7"/>
                          <a:stretch>
                            <a:fillRect/>
                          </a:stretch>
                        </pic:blipFill>
                        <pic:spPr>
                          <a:xfrm>
                            <a:off x="0" y="0"/>
                            <a:ext cx="1270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700" cy="14605"/>
                  <wp:effectExtent l="0" t="0" r="0" b="0"/>
                  <wp:wrapNone/>
                  <wp:docPr id="76" name="Picture_95_SpCnt_38"/>
                  <wp:cNvGraphicFramePr/>
                  <a:graphic xmlns:a="http://schemas.openxmlformats.org/drawingml/2006/main">
                    <a:graphicData uri="http://schemas.openxmlformats.org/drawingml/2006/picture">
                      <pic:pic xmlns:pic="http://schemas.openxmlformats.org/drawingml/2006/picture">
                        <pic:nvPicPr>
                          <pic:cNvPr id="76" name="Picture_95_SpCnt_38"/>
                          <pic:cNvPicPr/>
                        </pic:nvPicPr>
                        <pic:blipFill>
                          <a:blip r:embed="rId7"/>
                          <a:stretch>
                            <a:fillRect/>
                          </a:stretch>
                        </pic:blipFill>
                        <pic:spPr>
                          <a:xfrm>
                            <a:off x="0" y="0"/>
                            <a:ext cx="1270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700" cy="14605"/>
                  <wp:effectExtent l="0" t="0" r="0" b="0"/>
                  <wp:wrapNone/>
                  <wp:docPr id="77" name="Picture_95_SpCnt_39"/>
                  <wp:cNvGraphicFramePr/>
                  <a:graphic xmlns:a="http://schemas.openxmlformats.org/drawingml/2006/main">
                    <a:graphicData uri="http://schemas.openxmlformats.org/drawingml/2006/picture">
                      <pic:pic xmlns:pic="http://schemas.openxmlformats.org/drawingml/2006/picture">
                        <pic:nvPicPr>
                          <pic:cNvPr id="77" name="Picture_95_SpCnt_39"/>
                          <pic:cNvPicPr/>
                        </pic:nvPicPr>
                        <pic:blipFill>
                          <a:blip r:embed="rId7"/>
                          <a:stretch>
                            <a:fillRect/>
                          </a:stretch>
                        </pic:blipFill>
                        <pic:spPr>
                          <a:xfrm>
                            <a:off x="0" y="0"/>
                            <a:ext cx="1270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700" cy="14605"/>
                  <wp:effectExtent l="0" t="0" r="0" b="0"/>
                  <wp:wrapNone/>
                  <wp:docPr id="82" name="Picture_95_SpCnt_40"/>
                  <wp:cNvGraphicFramePr/>
                  <a:graphic xmlns:a="http://schemas.openxmlformats.org/drawingml/2006/main">
                    <a:graphicData uri="http://schemas.openxmlformats.org/drawingml/2006/picture">
                      <pic:pic xmlns:pic="http://schemas.openxmlformats.org/drawingml/2006/picture">
                        <pic:nvPicPr>
                          <pic:cNvPr id="82" name="Picture_95_SpCnt_40"/>
                          <pic:cNvPicPr/>
                        </pic:nvPicPr>
                        <pic:blipFill>
                          <a:blip r:embed="rId7"/>
                          <a:stretch>
                            <a:fillRect/>
                          </a:stretch>
                        </pic:blipFill>
                        <pic:spPr>
                          <a:xfrm>
                            <a:off x="0" y="0"/>
                            <a:ext cx="1270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700" cy="14605"/>
                  <wp:effectExtent l="0" t="0" r="0" b="0"/>
                  <wp:wrapNone/>
                  <wp:docPr id="83" name="Picture_95_SpCnt_41"/>
                  <wp:cNvGraphicFramePr/>
                  <a:graphic xmlns:a="http://schemas.openxmlformats.org/drawingml/2006/main">
                    <a:graphicData uri="http://schemas.openxmlformats.org/drawingml/2006/picture">
                      <pic:pic xmlns:pic="http://schemas.openxmlformats.org/drawingml/2006/picture">
                        <pic:nvPicPr>
                          <pic:cNvPr id="83" name="Picture_95_SpCnt_41"/>
                          <pic:cNvPicPr/>
                        </pic:nvPicPr>
                        <pic:blipFill>
                          <a:blip r:embed="rId7"/>
                          <a:stretch>
                            <a:fillRect/>
                          </a:stretch>
                        </pic:blipFill>
                        <pic:spPr>
                          <a:xfrm>
                            <a:off x="0" y="0"/>
                            <a:ext cx="1270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700" cy="14605"/>
                  <wp:effectExtent l="0" t="0" r="0" b="0"/>
                  <wp:wrapNone/>
                  <wp:docPr id="94" name="Picture_95_SpCnt_42"/>
                  <wp:cNvGraphicFramePr/>
                  <a:graphic xmlns:a="http://schemas.openxmlformats.org/drawingml/2006/main">
                    <a:graphicData uri="http://schemas.openxmlformats.org/drawingml/2006/picture">
                      <pic:pic xmlns:pic="http://schemas.openxmlformats.org/drawingml/2006/picture">
                        <pic:nvPicPr>
                          <pic:cNvPr id="94" name="Picture_95_SpCnt_42"/>
                          <pic:cNvPicPr/>
                        </pic:nvPicPr>
                        <pic:blipFill>
                          <a:blip r:embed="rId7"/>
                          <a:stretch>
                            <a:fillRect/>
                          </a:stretch>
                        </pic:blipFill>
                        <pic:spPr>
                          <a:xfrm>
                            <a:off x="0" y="0"/>
                            <a:ext cx="1270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700" cy="14605"/>
                  <wp:effectExtent l="0" t="0" r="0" b="0"/>
                  <wp:wrapNone/>
                  <wp:docPr id="95" name="Picture_95_SpCnt_43"/>
                  <wp:cNvGraphicFramePr/>
                  <a:graphic xmlns:a="http://schemas.openxmlformats.org/drawingml/2006/main">
                    <a:graphicData uri="http://schemas.openxmlformats.org/drawingml/2006/picture">
                      <pic:pic xmlns:pic="http://schemas.openxmlformats.org/drawingml/2006/picture">
                        <pic:nvPicPr>
                          <pic:cNvPr id="95" name="Picture_95_SpCnt_43"/>
                          <pic:cNvPicPr/>
                        </pic:nvPicPr>
                        <pic:blipFill>
                          <a:blip r:embed="rId7"/>
                          <a:stretch>
                            <a:fillRect/>
                          </a:stretch>
                        </pic:blipFill>
                        <pic:spPr>
                          <a:xfrm>
                            <a:off x="0" y="0"/>
                            <a:ext cx="1270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700" cy="14605"/>
                  <wp:effectExtent l="0" t="0" r="0" b="0"/>
                  <wp:wrapNone/>
                  <wp:docPr id="92" name="Picture_95_SpCnt_44"/>
                  <wp:cNvGraphicFramePr/>
                  <a:graphic xmlns:a="http://schemas.openxmlformats.org/drawingml/2006/main">
                    <a:graphicData uri="http://schemas.openxmlformats.org/drawingml/2006/picture">
                      <pic:pic xmlns:pic="http://schemas.openxmlformats.org/drawingml/2006/picture">
                        <pic:nvPicPr>
                          <pic:cNvPr id="92" name="Picture_95_SpCnt_44"/>
                          <pic:cNvPicPr/>
                        </pic:nvPicPr>
                        <pic:blipFill>
                          <a:blip r:embed="rId7"/>
                          <a:stretch>
                            <a:fillRect/>
                          </a:stretch>
                        </pic:blipFill>
                        <pic:spPr>
                          <a:xfrm>
                            <a:off x="0" y="0"/>
                            <a:ext cx="1270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700" cy="14605"/>
                  <wp:effectExtent l="0" t="0" r="0" b="0"/>
                  <wp:wrapNone/>
                  <wp:docPr id="93" name="Picture_95_SpCnt_45"/>
                  <wp:cNvGraphicFramePr/>
                  <a:graphic xmlns:a="http://schemas.openxmlformats.org/drawingml/2006/main">
                    <a:graphicData uri="http://schemas.openxmlformats.org/drawingml/2006/picture">
                      <pic:pic xmlns:pic="http://schemas.openxmlformats.org/drawingml/2006/picture">
                        <pic:nvPicPr>
                          <pic:cNvPr id="93" name="Picture_95_SpCnt_45"/>
                          <pic:cNvPicPr/>
                        </pic:nvPicPr>
                        <pic:blipFill>
                          <a:blip r:embed="rId7"/>
                          <a:stretch>
                            <a:fillRect/>
                          </a:stretch>
                        </pic:blipFill>
                        <pic:spPr>
                          <a:xfrm>
                            <a:off x="0" y="0"/>
                            <a:ext cx="1270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700" cy="14605"/>
                  <wp:effectExtent l="0" t="0" r="0" b="0"/>
                  <wp:wrapNone/>
                  <wp:docPr id="96" name="Picture_95_SpCnt_46"/>
                  <wp:cNvGraphicFramePr/>
                  <a:graphic xmlns:a="http://schemas.openxmlformats.org/drawingml/2006/main">
                    <a:graphicData uri="http://schemas.openxmlformats.org/drawingml/2006/picture">
                      <pic:pic xmlns:pic="http://schemas.openxmlformats.org/drawingml/2006/picture">
                        <pic:nvPicPr>
                          <pic:cNvPr id="96" name="Picture_95_SpCnt_46"/>
                          <pic:cNvPicPr/>
                        </pic:nvPicPr>
                        <pic:blipFill>
                          <a:blip r:embed="rId7"/>
                          <a:stretch>
                            <a:fillRect/>
                          </a:stretch>
                        </pic:blipFill>
                        <pic:spPr>
                          <a:xfrm>
                            <a:off x="0" y="0"/>
                            <a:ext cx="1270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2700" cy="14605"/>
                  <wp:effectExtent l="0" t="0" r="0" b="0"/>
                  <wp:wrapNone/>
                  <wp:docPr id="91" name="Picture_95_SpCnt_47"/>
                  <wp:cNvGraphicFramePr/>
                  <a:graphic xmlns:a="http://schemas.openxmlformats.org/drawingml/2006/main">
                    <a:graphicData uri="http://schemas.openxmlformats.org/drawingml/2006/picture">
                      <pic:pic xmlns:pic="http://schemas.openxmlformats.org/drawingml/2006/picture">
                        <pic:nvPicPr>
                          <pic:cNvPr id="91" name="Picture_95_SpCnt_47"/>
                          <pic:cNvPicPr/>
                        </pic:nvPicPr>
                        <pic:blipFill>
                          <a:blip r:embed="rId7"/>
                          <a:stretch>
                            <a:fillRect/>
                          </a:stretch>
                        </pic:blipFill>
                        <pic:spPr>
                          <a:xfrm>
                            <a:off x="0" y="0"/>
                            <a:ext cx="12700" cy="14605"/>
                          </a:xfrm>
                          <a:prstGeom prst="rect">
                            <a:avLst/>
                          </a:prstGeom>
                          <a:noFill/>
                          <a:ln>
                            <a:noFill/>
                          </a:ln>
                        </pic:spPr>
                      </pic:pic>
                    </a:graphicData>
                  </a:graphic>
                </wp:anchor>
              </w:drawing>
            </w:r>
            <w:r>
              <w:rPr>
                <w:rFonts w:hint="eastAsia" w:ascii="宋体" w:hAnsi="宋体" w:eastAsia="宋体" w:cs="宋体"/>
                <w:i w:val="0"/>
                <w:iCs w:val="0"/>
                <w:color w:val="000000"/>
                <w:kern w:val="0"/>
                <w:sz w:val="18"/>
                <w:szCs w:val="18"/>
                <w:u w:val="none"/>
                <w:lang w:val="en-US" w:eastAsia="zh-CN" w:bidi="ar"/>
              </w:rPr>
              <w:t>批</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11CBE8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14:paraId="70FAC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0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0079D1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2115" w:type="dxa"/>
            <w:tcBorders>
              <w:top w:val="single" w:color="auto" w:sz="4" w:space="0"/>
              <w:left w:val="single" w:color="auto" w:sz="4" w:space="0"/>
              <w:bottom w:val="single" w:color="auto" w:sz="4" w:space="0"/>
              <w:right w:val="single" w:color="auto" w:sz="4" w:space="0"/>
            </w:tcBorders>
            <w:shd w:val="clear" w:color="auto" w:fill="auto"/>
            <w:vAlign w:val="center"/>
          </w:tcPr>
          <w:p w14:paraId="3FB2AE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安装调试费机综合布线（含维护）</w:t>
            </w:r>
          </w:p>
        </w:tc>
        <w:tc>
          <w:tcPr>
            <w:tcW w:w="5070" w:type="dxa"/>
            <w:tcBorders>
              <w:top w:val="single" w:color="auto" w:sz="4" w:space="0"/>
              <w:left w:val="single" w:color="auto" w:sz="4" w:space="0"/>
              <w:bottom w:val="single" w:color="auto" w:sz="4" w:space="0"/>
              <w:right w:val="single" w:color="auto" w:sz="4" w:space="0"/>
            </w:tcBorders>
            <w:shd w:val="clear" w:color="auto" w:fill="auto"/>
            <w:vAlign w:val="center"/>
          </w:tcPr>
          <w:p w14:paraId="22623E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产品设备安装调试</w:t>
            </w:r>
          </w:p>
        </w:tc>
        <w:tc>
          <w:tcPr>
            <w:tcW w:w="1140" w:type="dxa"/>
            <w:tcBorders>
              <w:top w:val="single" w:color="auto" w:sz="4" w:space="0"/>
              <w:left w:val="single" w:color="auto" w:sz="4" w:space="0"/>
              <w:bottom w:val="single" w:color="auto" w:sz="4" w:space="0"/>
              <w:right w:val="single" w:color="auto" w:sz="4" w:space="0"/>
            </w:tcBorders>
            <w:shd w:val="clear" w:color="auto" w:fill="auto"/>
            <w:vAlign w:val="center"/>
          </w:tcPr>
          <w:p w14:paraId="491CFA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6FCF1D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bl>
    <w:p w14:paraId="46767F8F">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p>
    <w:p w14:paraId="79517A83">
      <w:pPr>
        <w:tabs>
          <w:tab w:val="left" w:pos="8575"/>
        </w:tabs>
        <w:jc w:val="left"/>
        <w:rPr>
          <w:rFonts w:hint="eastAsia"/>
        </w:rPr>
      </w:pPr>
      <w:r>
        <w:rPr>
          <w:rFonts w:hint="eastAsia" w:ascii="宋体" w:hAnsi="宋体"/>
          <w:b/>
          <w:szCs w:val="21"/>
        </w:rPr>
        <w:tab/>
      </w:r>
    </w:p>
    <w:sectPr>
      <w:footerReference r:id="rId3" w:type="default"/>
      <w:footerReference r:id="rId4" w:type="even"/>
      <w:type w:val="continuous"/>
      <w:pgSz w:w="11906" w:h="16838"/>
      <w:pgMar w:top="567" w:right="59" w:bottom="851" w:left="287" w:header="0"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宋体-简">
    <w:panose1 w:val="02010800040101010101"/>
    <w:charset w:val="86"/>
    <w:family w:val="auto"/>
    <w:pitch w:val="default"/>
    <w:sig w:usb0="00000001" w:usb1="080F0000" w:usb2="00000000"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DE40A2">
    <w:pPr>
      <w:pStyle w:val="5"/>
      <w:framePr w:wrap="around" w:vAnchor="text" w:hAnchor="margin" w:xAlign="center" w:y="1"/>
      <w:rPr>
        <w:rStyle w:val="12"/>
      </w:rPr>
    </w:pPr>
    <w:r>
      <w:fldChar w:fldCharType="begin"/>
    </w:r>
    <w:r>
      <w:rPr>
        <w:rStyle w:val="12"/>
      </w:rPr>
      <w:instrText xml:space="preserve">PAGE  </w:instrText>
    </w:r>
    <w:r>
      <w:fldChar w:fldCharType="separate"/>
    </w:r>
    <w:r>
      <w:rPr>
        <w:rStyle w:val="12"/>
      </w:rPr>
      <w:t>1</w:t>
    </w:r>
    <w:r>
      <w:fldChar w:fldCharType="end"/>
    </w:r>
  </w:p>
  <w:p w14:paraId="68EE6354">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BA70B9">
    <w:pPr>
      <w:pStyle w:val="5"/>
      <w:framePr w:wrap="around" w:vAnchor="text" w:hAnchor="margin" w:xAlign="center" w:y="1"/>
      <w:rPr>
        <w:rStyle w:val="12"/>
      </w:rPr>
    </w:pPr>
    <w:r>
      <w:fldChar w:fldCharType="begin"/>
    </w:r>
    <w:r>
      <w:rPr>
        <w:rStyle w:val="12"/>
      </w:rPr>
      <w:instrText xml:space="preserve">PAGE  </w:instrText>
    </w:r>
    <w:r>
      <w:fldChar w:fldCharType="end"/>
    </w:r>
  </w:p>
  <w:p w14:paraId="2823C090">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4ZWM2OTNkNjhkZmY3ZjEwYzI4MWYwMWQ2NjkyNjIifQ=="/>
  </w:docVars>
  <w:rsids>
    <w:rsidRoot w:val="007E7ACE"/>
    <w:rsid w:val="000032B6"/>
    <w:rsid w:val="00015497"/>
    <w:rsid w:val="0001601F"/>
    <w:rsid w:val="00026057"/>
    <w:rsid w:val="000312FD"/>
    <w:rsid w:val="00043143"/>
    <w:rsid w:val="00046C31"/>
    <w:rsid w:val="000606AD"/>
    <w:rsid w:val="00071E20"/>
    <w:rsid w:val="000729FF"/>
    <w:rsid w:val="00084127"/>
    <w:rsid w:val="0008745B"/>
    <w:rsid w:val="00090ECA"/>
    <w:rsid w:val="000913CE"/>
    <w:rsid w:val="00095131"/>
    <w:rsid w:val="0009709D"/>
    <w:rsid w:val="000A0D25"/>
    <w:rsid w:val="000A13D9"/>
    <w:rsid w:val="000B199A"/>
    <w:rsid w:val="000B558F"/>
    <w:rsid w:val="000B6DCE"/>
    <w:rsid w:val="000C02BB"/>
    <w:rsid w:val="000C25FF"/>
    <w:rsid w:val="000C2EF5"/>
    <w:rsid w:val="000D07F6"/>
    <w:rsid w:val="000D290C"/>
    <w:rsid w:val="000D5178"/>
    <w:rsid w:val="000E2212"/>
    <w:rsid w:val="000F0226"/>
    <w:rsid w:val="000F3455"/>
    <w:rsid w:val="0010464F"/>
    <w:rsid w:val="00111DD0"/>
    <w:rsid w:val="0011358E"/>
    <w:rsid w:val="00121141"/>
    <w:rsid w:val="00123AC1"/>
    <w:rsid w:val="00126138"/>
    <w:rsid w:val="001306FA"/>
    <w:rsid w:val="0013280F"/>
    <w:rsid w:val="00134054"/>
    <w:rsid w:val="0013493E"/>
    <w:rsid w:val="00144E67"/>
    <w:rsid w:val="00153038"/>
    <w:rsid w:val="00154E9C"/>
    <w:rsid w:val="0016024A"/>
    <w:rsid w:val="00160E62"/>
    <w:rsid w:val="00165417"/>
    <w:rsid w:val="00166BA5"/>
    <w:rsid w:val="001712A2"/>
    <w:rsid w:val="00171F3D"/>
    <w:rsid w:val="00174DC3"/>
    <w:rsid w:val="00180CDE"/>
    <w:rsid w:val="001811EE"/>
    <w:rsid w:val="00185548"/>
    <w:rsid w:val="00193004"/>
    <w:rsid w:val="00195E87"/>
    <w:rsid w:val="00196BE7"/>
    <w:rsid w:val="001C1F78"/>
    <w:rsid w:val="001C6F7B"/>
    <w:rsid w:val="001D0280"/>
    <w:rsid w:val="001D3B1F"/>
    <w:rsid w:val="001D4453"/>
    <w:rsid w:val="001D5E4F"/>
    <w:rsid w:val="001E1686"/>
    <w:rsid w:val="001E1A3C"/>
    <w:rsid w:val="001F18B2"/>
    <w:rsid w:val="00200B68"/>
    <w:rsid w:val="00202574"/>
    <w:rsid w:val="00210146"/>
    <w:rsid w:val="00216F70"/>
    <w:rsid w:val="002172F0"/>
    <w:rsid w:val="00224588"/>
    <w:rsid w:val="00224B71"/>
    <w:rsid w:val="00226631"/>
    <w:rsid w:val="00230771"/>
    <w:rsid w:val="002323CA"/>
    <w:rsid w:val="0024646D"/>
    <w:rsid w:val="002505F5"/>
    <w:rsid w:val="00250FE1"/>
    <w:rsid w:val="002518E6"/>
    <w:rsid w:val="00252B1F"/>
    <w:rsid w:val="00257C7E"/>
    <w:rsid w:val="00260A22"/>
    <w:rsid w:val="002625EB"/>
    <w:rsid w:val="00265A92"/>
    <w:rsid w:val="00273062"/>
    <w:rsid w:val="00280D99"/>
    <w:rsid w:val="00285AF0"/>
    <w:rsid w:val="002B0219"/>
    <w:rsid w:val="002B55DD"/>
    <w:rsid w:val="002B6F86"/>
    <w:rsid w:val="002C05B2"/>
    <w:rsid w:val="002C066F"/>
    <w:rsid w:val="002C43F4"/>
    <w:rsid w:val="002D5111"/>
    <w:rsid w:val="002D55C5"/>
    <w:rsid w:val="002E4E94"/>
    <w:rsid w:val="002E7E61"/>
    <w:rsid w:val="002F0138"/>
    <w:rsid w:val="002F0C53"/>
    <w:rsid w:val="002F55E3"/>
    <w:rsid w:val="003002B0"/>
    <w:rsid w:val="00303439"/>
    <w:rsid w:val="0031005C"/>
    <w:rsid w:val="0031055D"/>
    <w:rsid w:val="00314B26"/>
    <w:rsid w:val="00317E91"/>
    <w:rsid w:val="00320268"/>
    <w:rsid w:val="0032268A"/>
    <w:rsid w:val="003400F0"/>
    <w:rsid w:val="003509AF"/>
    <w:rsid w:val="0035689E"/>
    <w:rsid w:val="0036496E"/>
    <w:rsid w:val="00365C1A"/>
    <w:rsid w:val="00377A39"/>
    <w:rsid w:val="0038561C"/>
    <w:rsid w:val="00387CC0"/>
    <w:rsid w:val="0039257E"/>
    <w:rsid w:val="00392983"/>
    <w:rsid w:val="003942BD"/>
    <w:rsid w:val="00394443"/>
    <w:rsid w:val="003A2E1B"/>
    <w:rsid w:val="003A53B7"/>
    <w:rsid w:val="003A58A5"/>
    <w:rsid w:val="003B0164"/>
    <w:rsid w:val="003C7289"/>
    <w:rsid w:val="003C7562"/>
    <w:rsid w:val="003D1805"/>
    <w:rsid w:val="003E016F"/>
    <w:rsid w:val="003E08D7"/>
    <w:rsid w:val="003E4431"/>
    <w:rsid w:val="003F0C11"/>
    <w:rsid w:val="003F5B24"/>
    <w:rsid w:val="0040011F"/>
    <w:rsid w:val="00405B91"/>
    <w:rsid w:val="00413F9B"/>
    <w:rsid w:val="004156E8"/>
    <w:rsid w:val="00422579"/>
    <w:rsid w:val="00424112"/>
    <w:rsid w:val="0042536B"/>
    <w:rsid w:val="00425F66"/>
    <w:rsid w:val="00427FC3"/>
    <w:rsid w:val="004310E8"/>
    <w:rsid w:val="00431B04"/>
    <w:rsid w:val="00434B23"/>
    <w:rsid w:val="0044281F"/>
    <w:rsid w:val="00451CA3"/>
    <w:rsid w:val="00453D71"/>
    <w:rsid w:val="00456788"/>
    <w:rsid w:val="004609DE"/>
    <w:rsid w:val="004615AD"/>
    <w:rsid w:val="00462469"/>
    <w:rsid w:val="00471E6C"/>
    <w:rsid w:val="00481B69"/>
    <w:rsid w:val="00483052"/>
    <w:rsid w:val="00495E7B"/>
    <w:rsid w:val="00496202"/>
    <w:rsid w:val="004B0453"/>
    <w:rsid w:val="004B3864"/>
    <w:rsid w:val="004B79C9"/>
    <w:rsid w:val="004C28C9"/>
    <w:rsid w:val="004C505C"/>
    <w:rsid w:val="004C6CCA"/>
    <w:rsid w:val="004C7611"/>
    <w:rsid w:val="004C7A99"/>
    <w:rsid w:val="004D0386"/>
    <w:rsid w:val="004D07E9"/>
    <w:rsid w:val="004D6773"/>
    <w:rsid w:val="004E0D66"/>
    <w:rsid w:val="004E1FA1"/>
    <w:rsid w:val="004E35CF"/>
    <w:rsid w:val="004F2A8E"/>
    <w:rsid w:val="004F3889"/>
    <w:rsid w:val="004F4386"/>
    <w:rsid w:val="00501726"/>
    <w:rsid w:val="00501F35"/>
    <w:rsid w:val="00504B67"/>
    <w:rsid w:val="005075F7"/>
    <w:rsid w:val="005258EE"/>
    <w:rsid w:val="00530D6A"/>
    <w:rsid w:val="0053149B"/>
    <w:rsid w:val="00533F96"/>
    <w:rsid w:val="0053430C"/>
    <w:rsid w:val="0053624C"/>
    <w:rsid w:val="00536A28"/>
    <w:rsid w:val="0054233F"/>
    <w:rsid w:val="00542495"/>
    <w:rsid w:val="005505DD"/>
    <w:rsid w:val="00552F65"/>
    <w:rsid w:val="005536A6"/>
    <w:rsid w:val="005561DC"/>
    <w:rsid w:val="0056234E"/>
    <w:rsid w:val="00563B04"/>
    <w:rsid w:val="00563B1D"/>
    <w:rsid w:val="00564E09"/>
    <w:rsid w:val="005743CA"/>
    <w:rsid w:val="00574B7A"/>
    <w:rsid w:val="00576D5D"/>
    <w:rsid w:val="005931D8"/>
    <w:rsid w:val="0059581E"/>
    <w:rsid w:val="005A16CE"/>
    <w:rsid w:val="005A1922"/>
    <w:rsid w:val="005A4B8D"/>
    <w:rsid w:val="005B3E8D"/>
    <w:rsid w:val="005B5A51"/>
    <w:rsid w:val="005B7F0C"/>
    <w:rsid w:val="005C175D"/>
    <w:rsid w:val="005C1AC8"/>
    <w:rsid w:val="005C46F1"/>
    <w:rsid w:val="005D2D06"/>
    <w:rsid w:val="005D47E2"/>
    <w:rsid w:val="005D6530"/>
    <w:rsid w:val="005F1F8F"/>
    <w:rsid w:val="005F4D30"/>
    <w:rsid w:val="0060433D"/>
    <w:rsid w:val="0061004B"/>
    <w:rsid w:val="00610BEB"/>
    <w:rsid w:val="00616B49"/>
    <w:rsid w:val="00620DFE"/>
    <w:rsid w:val="0062122E"/>
    <w:rsid w:val="00622D27"/>
    <w:rsid w:val="00623231"/>
    <w:rsid w:val="006245C9"/>
    <w:rsid w:val="00627ACC"/>
    <w:rsid w:val="00635F1C"/>
    <w:rsid w:val="00637917"/>
    <w:rsid w:val="006420D7"/>
    <w:rsid w:val="00651AB4"/>
    <w:rsid w:val="006528A2"/>
    <w:rsid w:val="00654A71"/>
    <w:rsid w:val="006568E7"/>
    <w:rsid w:val="00657646"/>
    <w:rsid w:val="006627B1"/>
    <w:rsid w:val="00671E1C"/>
    <w:rsid w:val="00680070"/>
    <w:rsid w:val="006874A4"/>
    <w:rsid w:val="00690B97"/>
    <w:rsid w:val="0069129F"/>
    <w:rsid w:val="00695DF2"/>
    <w:rsid w:val="006A5081"/>
    <w:rsid w:val="006B226D"/>
    <w:rsid w:val="006B2C87"/>
    <w:rsid w:val="006B5289"/>
    <w:rsid w:val="006B60E0"/>
    <w:rsid w:val="006E2859"/>
    <w:rsid w:val="006E4F1C"/>
    <w:rsid w:val="006E6DC7"/>
    <w:rsid w:val="006F3758"/>
    <w:rsid w:val="006F45D5"/>
    <w:rsid w:val="00706A01"/>
    <w:rsid w:val="00707696"/>
    <w:rsid w:val="007110AA"/>
    <w:rsid w:val="0071163A"/>
    <w:rsid w:val="00713456"/>
    <w:rsid w:val="007208A1"/>
    <w:rsid w:val="00724C91"/>
    <w:rsid w:val="00736970"/>
    <w:rsid w:val="00741016"/>
    <w:rsid w:val="007466A9"/>
    <w:rsid w:val="00747E65"/>
    <w:rsid w:val="00752064"/>
    <w:rsid w:val="0076197B"/>
    <w:rsid w:val="00767E74"/>
    <w:rsid w:val="0077034E"/>
    <w:rsid w:val="007713F2"/>
    <w:rsid w:val="00774455"/>
    <w:rsid w:val="00774942"/>
    <w:rsid w:val="007770D6"/>
    <w:rsid w:val="007775D7"/>
    <w:rsid w:val="00777965"/>
    <w:rsid w:val="00786582"/>
    <w:rsid w:val="007906BA"/>
    <w:rsid w:val="00791227"/>
    <w:rsid w:val="007959D5"/>
    <w:rsid w:val="00795DE0"/>
    <w:rsid w:val="007A1BDC"/>
    <w:rsid w:val="007A3911"/>
    <w:rsid w:val="007B1833"/>
    <w:rsid w:val="007B3CD3"/>
    <w:rsid w:val="007B764E"/>
    <w:rsid w:val="007C2500"/>
    <w:rsid w:val="007C6093"/>
    <w:rsid w:val="007D48A8"/>
    <w:rsid w:val="007D59C7"/>
    <w:rsid w:val="007E2DB8"/>
    <w:rsid w:val="007E4D26"/>
    <w:rsid w:val="007E7295"/>
    <w:rsid w:val="007E7ACE"/>
    <w:rsid w:val="007F4EE7"/>
    <w:rsid w:val="008067FC"/>
    <w:rsid w:val="008109FA"/>
    <w:rsid w:val="00816A6A"/>
    <w:rsid w:val="008238C7"/>
    <w:rsid w:val="00824C2F"/>
    <w:rsid w:val="008312FB"/>
    <w:rsid w:val="00840728"/>
    <w:rsid w:val="008444F5"/>
    <w:rsid w:val="00847855"/>
    <w:rsid w:val="00851756"/>
    <w:rsid w:val="00853824"/>
    <w:rsid w:val="008607E8"/>
    <w:rsid w:val="00861206"/>
    <w:rsid w:val="00864C8C"/>
    <w:rsid w:val="00866731"/>
    <w:rsid w:val="00866D95"/>
    <w:rsid w:val="008674D5"/>
    <w:rsid w:val="00873AAE"/>
    <w:rsid w:val="008742F0"/>
    <w:rsid w:val="008814ED"/>
    <w:rsid w:val="00892A81"/>
    <w:rsid w:val="00895860"/>
    <w:rsid w:val="008A2F8B"/>
    <w:rsid w:val="008A57AF"/>
    <w:rsid w:val="008B2AE7"/>
    <w:rsid w:val="008B4752"/>
    <w:rsid w:val="008B75FF"/>
    <w:rsid w:val="008C2208"/>
    <w:rsid w:val="008C3CF4"/>
    <w:rsid w:val="008D1760"/>
    <w:rsid w:val="008D37AB"/>
    <w:rsid w:val="008D75B6"/>
    <w:rsid w:val="008E1229"/>
    <w:rsid w:val="008E31AF"/>
    <w:rsid w:val="008E326B"/>
    <w:rsid w:val="008E5D61"/>
    <w:rsid w:val="008F3959"/>
    <w:rsid w:val="008F7DB9"/>
    <w:rsid w:val="00905DF9"/>
    <w:rsid w:val="00911A46"/>
    <w:rsid w:val="00914BA1"/>
    <w:rsid w:val="009153F1"/>
    <w:rsid w:val="009173EC"/>
    <w:rsid w:val="00933AB9"/>
    <w:rsid w:val="00936139"/>
    <w:rsid w:val="00944F8B"/>
    <w:rsid w:val="009630E5"/>
    <w:rsid w:val="0096423E"/>
    <w:rsid w:val="00970BE7"/>
    <w:rsid w:val="00977F5E"/>
    <w:rsid w:val="009856D4"/>
    <w:rsid w:val="0098693E"/>
    <w:rsid w:val="00986FC7"/>
    <w:rsid w:val="009913BA"/>
    <w:rsid w:val="00991433"/>
    <w:rsid w:val="009922FE"/>
    <w:rsid w:val="00993B8C"/>
    <w:rsid w:val="009971E8"/>
    <w:rsid w:val="009A27D0"/>
    <w:rsid w:val="009A4324"/>
    <w:rsid w:val="009A5B7E"/>
    <w:rsid w:val="009B0F61"/>
    <w:rsid w:val="009B1431"/>
    <w:rsid w:val="009B596D"/>
    <w:rsid w:val="009C2597"/>
    <w:rsid w:val="009C2986"/>
    <w:rsid w:val="009C4804"/>
    <w:rsid w:val="009D13E8"/>
    <w:rsid w:val="009E293B"/>
    <w:rsid w:val="009E2C99"/>
    <w:rsid w:val="009E53F3"/>
    <w:rsid w:val="009E7FD7"/>
    <w:rsid w:val="009F20E9"/>
    <w:rsid w:val="00A00EE9"/>
    <w:rsid w:val="00A01BD4"/>
    <w:rsid w:val="00A15297"/>
    <w:rsid w:val="00A24B49"/>
    <w:rsid w:val="00A278CE"/>
    <w:rsid w:val="00A303E7"/>
    <w:rsid w:val="00A3317C"/>
    <w:rsid w:val="00A33C1E"/>
    <w:rsid w:val="00A371EE"/>
    <w:rsid w:val="00A40815"/>
    <w:rsid w:val="00A43D2C"/>
    <w:rsid w:val="00A515EF"/>
    <w:rsid w:val="00A745A9"/>
    <w:rsid w:val="00A74BDE"/>
    <w:rsid w:val="00A76FF6"/>
    <w:rsid w:val="00A77B55"/>
    <w:rsid w:val="00A8323B"/>
    <w:rsid w:val="00A86626"/>
    <w:rsid w:val="00A97DCA"/>
    <w:rsid w:val="00AA308B"/>
    <w:rsid w:val="00AB133C"/>
    <w:rsid w:val="00AB14BE"/>
    <w:rsid w:val="00AB5419"/>
    <w:rsid w:val="00AB6801"/>
    <w:rsid w:val="00AC1411"/>
    <w:rsid w:val="00AC239B"/>
    <w:rsid w:val="00AC47B0"/>
    <w:rsid w:val="00AC4CB4"/>
    <w:rsid w:val="00AC7B0F"/>
    <w:rsid w:val="00AD0104"/>
    <w:rsid w:val="00AE4CFA"/>
    <w:rsid w:val="00AF073A"/>
    <w:rsid w:val="00AF2655"/>
    <w:rsid w:val="00B019A0"/>
    <w:rsid w:val="00B119E0"/>
    <w:rsid w:val="00B11E23"/>
    <w:rsid w:val="00B1278E"/>
    <w:rsid w:val="00B145E1"/>
    <w:rsid w:val="00B20FA0"/>
    <w:rsid w:val="00B24D9C"/>
    <w:rsid w:val="00B27699"/>
    <w:rsid w:val="00B3246D"/>
    <w:rsid w:val="00B40D1F"/>
    <w:rsid w:val="00B428AB"/>
    <w:rsid w:val="00B44C70"/>
    <w:rsid w:val="00B50C40"/>
    <w:rsid w:val="00B54986"/>
    <w:rsid w:val="00B56C5F"/>
    <w:rsid w:val="00B56CDA"/>
    <w:rsid w:val="00B573FA"/>
    <w:rsid w:val="00B62356"/>
    <w:rsid w:val="00B71EB7"/>
    <w:rsid w:val="00B74462"/>
    <w:rsid w:val="00B746C0"/>
    <w:rsid w:val="00B768E8"/>
    <w:rsid w:val="00BA23DA"/>
    <w:rsid w:val="00BB23F3"/>
    <w:rsid w:val="00BB3339"/>
    <w:rsid w:val="00BB3AB7"/>
    <w:rsid w:val="00BC0EF9"/>
    <w:rsid w:val="00BC0F67"/>
    <w:rsid w:val="00BC134F"/>
    <w:rsid w:val="00BC7F4B"/>
    <w:rsid w:val="00BD0D97"/>
    <w:rsid w:val="00BD5008"/>
    <w:rsid w:val="00BF1905"/>
    <w:rsid w:val="00BF4867"/>
    <w:rsid w:val="00BF4BB6"/>
    <w:rsid w:val="00BF7FED"/>
    <w:rsid w:val="00C000FD"/>
    <w:rsid w:val="00C020DB"/>
    <w:rsid w:val="00C04F95"/>
    <w:rsid w:val="00C057E0"/>
    <w:rsid w:val="00C05E35"/>
    <w:rsid w:val="00C064CD"/>
    <w:rsid w:val="00C31BDB"/>
    <w:rsid w:val="00C32786"/>
    <w:rsid w:val="00C43F9F"/>
    <w:rsid w:val="00C47CC9"/>
    <w:rsid w:val="00C51275"/>
    <w:rsid w:val="00C5557E"/>
    <w:rsid w:val="00C61B06"/>
    <w:rsid w:val="00C62560"/>
    <w:rsid w:val="00C62DEF"/>
    <w:rsid w:val="00C773C0"/>
    <w:rsid w:val="00C83D10"/>
    <w:rsid w:val="00C906D2"/>
    <w:rsid w:val="00C92943"/>
    <w:rsid w:val="00C93585"/>
    <w:rsid w:val="00C95B6B"/>
    <w:rsid w:val="00CA0F8F"/>
    <w:rsid w:val="00CB21F4"/>
    <w:rsid w:val="00CB272D"/>
    <w:rsid w:val="00CB2BFC"/>
    <w:rsid w:val="00CB405E"/>
    <w:rsid w:val="00CB4B31"/>
    <w:rsid w:val="00CB6891"/>
    <w:rsid w:val="00CB7E05"/>
    <w:rsid w:val="00CC3392"/>
    <w:rsid w:val="00CD3534"/>
    <w:rsid w:val="00CD43FA"/>
    <w:rsid w:val="00CD4A62"/>
    <w:rsid w:val="00CE1301"/>
    <w:rsid w:val="00CE2A74"/>
    <w:rsid w:val="00CE3985"/>
    <w:rsid w:val="00CE6192"/>
    <w:rsid w:val="00CE7131"/>
    <w:rsid w:val="00CF10CA"/>
    <w:rsid w:val="00CF12BB"/>
    <w:rsid w:val="00CF2A98"/>
    <w:rsid w:val="00CF6A38"/>
    <w:rsid w:val="00D00187"/>
    <w:rsid w:val="00D039AF"/>
    <w:rsid w:val="00D10E2B"/>
    <w:rsid w:val="00D157DC"/>
    <w:rsid w:val="00D164CD"/>
    <w:rsid w:val="00D16750"/>
    <w:rsid w:val="00D21B12"/>
    <w:rsid w:val="00D27299"/>
    <w:rsid w:val="00D32486"/>
    <w:rsid w:val="00D35E92"/>
    <w:rsid w:val="00D36741"/>
    <w:rsid w:val="00D41094"/>
    <w:rsid w:val="00D4379A"/>
    <w:rsid w:val="00D459BB"/>
    <w:rsid w:val="00D46063"/>
    <w:rsid w:val="00D46AEC"/>
    <w:rsid w:val="00D54EF8"/>
    <w:rsid w:val="00D601C0"/>
    <w:rsid w:val="00D6164E"/>
    <w:rsid w:val="00D6196A"/>
    <w:rsid w:val="00D719AF"/>
    <w:rsid w:val="00D7259E"/>
    <w:rsid w:val="00D72976"/>
    <w:rsid w:val="00D74773"/>
    <w:rsid w:val="00D75ABD"/>
    <w:rsid w:val="00D76162"/>
    <w:rsid w:val="00D83898"/>
    <w:rsid w:val="00D86705"/>
    <w:rsid w:val="00D97E42"/>
    <w:rsid w:val="00DA1296"/>
    <w:rsid w:val="00DA346E"/>
    <w:rsid w:val="00DA7BF0"/>
    <w:rsid w:val="00DB012E"/>
    <w:rsid w:val="00DB2A65"/>
    <w:rsid w:val="00DB3DA3"/>
    <w:rsid w:val="00DC4B5C"/>
    <w:rsid w:val="00DD1BAE"/>
    <w:rsid w:val="00DD70DF"/>
    <w:rsid w:val="00DE6537"/>
    <w:rsid w:val="00DF2840"/>
    <w:rsid w:val="00DF67F2"/>
    <w:rsid w:val="00E027E9"/>
    <w:rsid w:val="00E02C8E"/>
    <w:rsid w:val="00E05D52"/>
    <w:rsid w:val="00E07169"/>
    <w:rsid w:val="00E13836"/>
    <w:rsid w:val="00E14BFE"/>
    <w:rsid w:val="00E157EA"/>
    <w:rsid w:val="00E15962"/>
    <w:rsid w:val="00E1799C"/>
    <w:rsid w:val="00E23A64"/>
    <w:rsid w:val="00E359AA"/>
    <w:rsid w:val="00E3606C"/>
    <w:rsid w:val="00E40D54"/>
    <w:rsid w:val="00E41370"/>
    <w:rsid w:val="00E43392"/>
    <w:rsid w:val="00E46FDB"/>
    <w:rsid w:val="00E47D9B"/>
    <w:rsid w:val="00E51AC7"/>
    <w:rsid w:val="00E541DE"/>
    <w:rsid w:val="00E542C7"/>
    <w:rsid w:val="00E564E6"/>
    <w:rsid w:val="00E56B4C"/>
    <w:rsid w:val="00E57CC4"/>
    <w:rsid w:val="00E60500"/>
    <w:rsid w:val="00E605EE"/>
    <w:rsid w:val="00E62C7E"/>
    <w:rsid w:val="00E67521"/>
    <w:rsid w:val="00E67891"/>
    <w:rsid w:val="00E719CD"/>
    <w:rsid w:val="00E804F0"/>
    <w:rsid w:val="00E81D0E"/>
    <w:rsid w:val="00E85911"/>
    <w:rsid w:val="00E86DC9"/>
    <w:rsid w:val="00E970A5"/>
    <w:rsid w:val="00EA3A08"/>
    <w:rsid w:val="00EB6031"/>
    <w:rsid w:val="00EB613D"/>
    <w:rsid w:val="00EC3B6F"/>
    <w:rsid w:val="00ED6F36"/>
    <w:rsid w:val="00ED706F"/>
    <w:rsid w:val="00EE506F"/>
    <w:rsid w:val="00EF2F94"/>
    <w:rsid w:val="00EF7150"/>
    <w:rsid w:val="00F11BE8"/>
    <w:rsid w:val="00F14E60"/>
    <w:rsid w:val="00F31273"/>
    <w:rsid w:val="00F3353E"/>
    <w:rsid w:val="00F42D28"/>
    <w:rsid w:val="00F4349D"/>
    <w:rsid w:val="00F458A2"/>
    <w:rsid w:val="00F4651C"/>
    <w:rsid w:val="00F531A1"/>
    <w:rsid w:val="00F54093"/>
    <w:rsid w:val="00F57DD5"/>
    <w:rsid w:val="00F644A0"/>
    <w:rsid w:val="00F74ED8"/>
    <w:rsid w:val="00F80526"/>
    <w:rsid w:val="00F82E19"/>
    <w:rsid w:val="00F850C6"/>
    <w:rsid w:val="00F94F19"/>
    <w:rsid w:val="00F977FC"/>
    <w:rsid w:val="00FA27B7"/>
    <w:rsid w:val="00FA3141"/>
    <w:rsid w:val="00FA543E"/>
    <w:rsid w:val="00FA6FBB"/>
    <w:rsid w:val="00FA74AC"/>
    <w:rsid w:val="00FB2920"/>
    <w:rsid w:val="00FB4851"/>
    <w:rsid w:val="00FB5173"/>
    <w:rsid w:val="00FB57F6"/>
    <w:rsid w:val="00FB7FAB"/>
    <w:rsid w:val="00FC16B9"/>
    <w:rsid w:val="00FC1A90"/>
    <w:rsid w:val="00FC1EF4"/>
    <w:rsid w:val="00FC3696"/>
    <w:rsid w:val="00FC7C76"/>
    <w:rsid w:val="00FD1C81"/>
    <w:rsid w:val="00FD2B88"/>
    <w:rsid w:val="00FE169C"/>
    <w:rsid w:val="00FE1FC3"/>
    <w:rsid w:val="00FE26B9"/>
    <w:rsid w:val="00FE5C86"/>
    <w:rsid w:val="00FF18EF"/>
    <w:rsid w:val="00FF77D6"/>
    <w:rsid w:val="00FF7BFF"/>
    <w:rsid w:val="01C96ACA"/>
    <w:rsid w:val="061D415C"/>
    <w:rsid w:val="075069F8"/>
    <w:rsid w:val="0944470F"/>
    <w:rsid w:val="0B22591B"/>
    <w:rsid w:val="0B630260"/>
    <w:rsid w:val="0CAC0117"/>
    <w:rsid w:val="10967075"/>
    <w:rsid w:val="109A5759"/>
    <w:rsid w:val="12D25364"/>
    <w:rsid w:val="15861E97"/>
    <w:rsid w:val="15C95D8B"/>
    <w:rsid w:val="166C513A"/>
    <w:rsid w:val="16DB3BB5"/>
    <w:rsid w:val="18B21F50"/>
    <w:rsid w:val="1ADE7D8F"/>
    <w:rsid w:val="1B3B0D05"/>
    <w:rsid w:val="1BBD6C5D"/>
    <w:rsid w:val="1E5340F4"/>
    <w:rsid w:val="200F3033"/>
    <w:rsid w:val="22551804"/>
    <w:rsid w:val="2401437E"/>
    <w:rsid w:val="249B493C"/>
    <w:rsid w:val="255E38D9"/>
    <w:rsid w:val="25C140EA"/>
    <w:rsid w:val="25FD075E"/>
    <w:rsid w:val="27521381"/>
    <w:rsid w:val="28211F6F"/>
    <w:rsid w:val="2D182C2F"/>
    <w:rsid w:val="2E7263B5"/>
    <w:rsid w:val="31485236"/>
    <w:rsid w:val="31B75522"/>
    <w:rsid w:val="323838CA"/>
    <w:rsid w:val="334D1703"/>
    <w:rsid w:val="3636610A"/>
    <w:rsid w:val="37AB4F30"/>
    <w:rsid w:val="3A6B38AB"/>
    <w:rsid w:val="3CA449FA"/>
    <w:rsid w:val="3CFA7EF1"/>
    <w:rsid w:val="3F9610AA"/>
    <w:rsid w:val="3FC81C0E"/>
    <w:rsid w:val="41481934"/>
    <w:rsid w:val="424A30D4"/>
    <w:rsid w:val="436C63CE"/>
    <w:rsid w:val="43D95179"/>
    <w:rsid w:val="47FF3D74"/>
    <w:rsid w:val="48344E84"/>
    <w:rsid w:val="4A1840B3"/>
    <w:rsid w:val="4BA856C8"/>
    <w:rsid w:val="4F433092"/>
    <w:rsid w:val="4FB26528"/>
    <w:rsid w:val="525B011E"/>
    <w:rsid w:val="57EF4B7A"/>
    <w:rsid w:val="5A132E89"/>
    <w:rsid w:val="5AC36B14"/>
    <w:rsid w:val="5B88472A"/>
    <w:rsid w:val="5FFF5F68"/>
    <w:rsid w:val="61D45684"/>
    <w:rsid w:val="6AB72DF0"/>
    <w:rsid w:val="6B2523D9"/>
    <w:rsid w:val="6ED978AF"/>
    <w:rsid w:val="6FFD5CBC"/>
    <w:rsid w:val="71DF6A6F"/>
    <w:rsid w:val="78E35511"/>
    <w:rsid w:val="79E06302"/>
    <w:rsid w:val="7A6F38E8"/>
    <w:rsid w:val="7CCC5306"/>
    <w:rsid w:val="7D6A014C"/>
    <w:rsid w:val="7DFB6B9B"/>
    <w:rsid w:val="7EAB116F"/>
    <w:rsid w:val="9E7057F1"/>
    <w:rsid w:val="F7F4E9D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Document Map"/>
    <w:basedOn w:val="1"/>
    <w:link w:val="14"/>
    <w:qFormat/>
    <w:uiPriority w:val="0"/>
    <w:rPr>
      <w:rFonts w:ascii="宋体"/>
      <w:sz w:val="18"/>
      <w:szCs w:val="18"/>
    </w:rPr>
  </w:style>
  <w:style w:type="paragraph" w:styleId="3">
    <w:name w:val="annotation text"/>
    <w:basedOn w:val="1"/>
    <w:link w:val="15"/>
    <w:qFormat/>
    <w:uiPriority w:val="0"/>
    <w:pPr>
      <w:jc w:val="left"/>
    </w:p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20"/>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kern w:val="0"/>
      <w:sz w:val="24"/>
    </w:rPr>
  </w:style>
  <w:style w:type="paragraph" w:styleId="8">
    <w:name w:val="annotation subject"/>
    <w:basedOn w:val="3"/>
    <w:next w:val="3"/>
    <w:link w:val="16"/>
    <w:qFormat/>
    <w:uiPriority w:val="0"/>
    <w:rPr>
      <w:b/>
      <w:bC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character" w:styleId="13">
    <w:name w:val="annotation reference"/>
    <w:basedOn w:val="11"/>
    <w:qFormat/>
    <w:uiPriority w:val="0"/>
    <w:rPr>
      <w:sz w:val="21"/>
      <w:szCs w:val="21"/>
    </w:rPr>
  </w:style>
  <w:style w:type="character" w:customStyle="1" w:styleId="14">
    <w:name w:val="文档结构图 Char"/>
    <w:link w:val="2"/>
    <w:qFormat/>
    <w:uiPriority w:val="0"/>
    <w:rPr>
      <w:rFonts w:ascii="宋体"/>
      <w:kern w:val="2"/>
      <w:sz w:val="18"/>
      <w:szCs w:val="18"/>
    </w:rPr>
  </w:style>
  <w:style w:type="character" w:customStyle="1" w:styleId="15">
    <w:name w:val="批注文字 Char"/>
    <w:basedOn w:val="11"/>
    <w:link w:val="3"/>
    <w:qFormat/>
    <w:uiPriority w:val="0"/>
    <w:rPr>
      <w:kern w:val="2"/>
      <w:sz w:val="21"/>
      <w:szCs w:val="24"/>
    </w:rPr>
  </w:style>
  <w:style w:type="character" w:customStyle="1" w:styleId="16">
    <w:name w:val="批注主题 Char"/>
    <w:basedOn w:val="15"/>
    <w:link w:val="8"/>
    <w:qFormat/>
    <w:uiPriority w:val="0"/>
    <w:rPr>
      <w:b/>
      <w:bCs/>
    </w:rPr>
  </w:style>
  <w:style w:type="character" w:customStyle="1" w:styleId="17">
    <w:name w:val="font61"/>
    <w:basedOn w:val="11"/>
    <w:qFormat/>
    <w:uiPriority w:val="0"/>
    <w:rPr>
      <w:rFonts w:ascii="Arial" w:hAnsi="Arial" w:cs="Arial"/>
      <w:color w:val="000000"/>
      <w:sz w:val="20"/>
      <w:szCs w:val="20"/>
      <w:u w:val="none"/>
    </w:rPr>
  </w:style>
  <w:style w:type="character" w:customStyle="1" w:styleId="18">
    <w:name w:val="font31"/>
    <w:basedOn w:val="11"/>
    <w:qFormat/>
    <w:uiPriority w:val="0"/>
    <w:rPr>
      <w:rFonts w:hint="eastAsia" w:ascii="宋体" w:hAnsi="宋体" w:eastAsia="宋体" w:cs="宋体"/>
      <w:color w:val="000000"/>
      <w:sz w:val="18"/>
      <w:szCs w:val="18"/>
      <w:u w:val="none"/>
    </w:rPr>
  </w:style>
  <w:style w:type="character" w:customStyle="1" w:styleId="19">
    <w:name w:val="font71"/>
    <w:basedOn w:val="11"/>
    <w:qFormat/>
    <w:uiPriority w:val="0"/>
    <w:rPr>
      <w:rFonts w:hint="eastAsia" w:ascii="宋体" w:hAnsi="宋体" w:eastAsia="宋体" w:cs="宋体"/>
      <w:color w:val="000000"/>
      <w:sz w:val="18"/>
      <w:szCs w:val="18"/>
      <w:u w:val="none"/>
    </w:rPr>
  </w:style>
  <w:style w:type="character" w:customStyle="1" w:styleId="20">
    <w:name w:val="font21"/>
    <w:basedOn w:val="11"/>
    <w:qFormat/>
    <w:uiPriority w:val="0"/>
    <w:rPr>
      <w:rFonts w:hint="eastAsia" w:ascii="宋体" w:hAnsi="宋体" w:eastAsia="宋体" w:cs="宋体"/>
      <w:color w:val="FF0000"/>
      <w:sz w:val="20"/>
      <w:szCs w:val="20"/>
      <w:u w:val="none"/>
    </w:rPr>
  </w:style>
  <w:style w:type="character" w:customStyle="1" w:styleId="21">
    <w:name w:val="font91"/>
    <w:basedOn w:val="11"/>
    <w:qFormat/>
    <w:uiPriority w:val="0"/>
    <w:rPr>
      <w:rFonts w:ascii="Arial" w:hAnsi="Arial" w:cs="Arial"/>
      <w:color w:val="FF0000"/>
      <w:sz w:val="20"/>
      <w:szCs w:val="20"/>
      <w:u w:val="none"/>
    </w:rPr>
  </w:style>
  <w:style w:type="character" w:customStyle="1" w:styleId="22">
    <w:name w:val="font111"/>
    <w:basedOn w:val="11"/>
    <w:qFormat/>
    <w:uiPriority w:val="0"/>
    <w:rPr>
      <w:rFonts w:hint="eastAsia" w:ascii="宋体" w:hAnsi="宋体" w:eastAsia="宋体" w:cs="宋体"/>
      <w:color w:val="000000"/>
      <w:sz w:val="20"/>
      <w:szCs w:val="20"/>
      <w:u w:val="none"/>
    </w:rPr>
  </w:style>
  <w:style w:type="character" w:customStyle="1" w:styleId="23">
    <w:name w:val="font11"/>
    <w:qFormat/>
    <w:uiPriority w:val="0"/>
    <w:rPr>
      <w:rFonts w:hint="eastAsia" w:ascii="宋体" w:hAnsi="宋体" w:eastAsia="宋体"/>
      <w:color w:val="0000FF"/>
      <w:sz w:val="18"/>
      <w:szCs w:val="18"/>
      <w:u w:val="none"/>
    </w:rPr>
  </w:style>
  <w:style w:type="character" w:customStyle="1" w:styleId="24">
    <w:name w:val="font12"/>
    <w:basedOn w:val="11"/>
    <w:qFormat/>
    <w:uiPriority w:val="0"/>
    <w:rPr>
      <w:rFonts w:hint="eastAsia" w:ascii="宋体" w:hAnsi="宋体" w:eastAsia="宋体" w:cs="宋体"/>
      <w:color w:val="000000"/>
      <w:sz w:val="18"/>
      <w:szCs w:val="18"/>
      <w:u w:val="none"/>
    </w:rPr>
  </w:style>
  <w:style w:type="character" w:customStyle="1" w:styleId="25">
    <w:name w:val="font171"/>
    <w:basedOn w:val="11"/>
    <w:qFormat/>
    <w:uiPriority w:val="0"/>
    <w:rPr>
      <w:rFonts w:hint="eastAsia" w:ascii="宋体" w:hAnsi="宋体" w:eastAsia="宋体" w:cs="宋体"/>
      <w:color w:val="FF0000"/>
      <w:sz w:val="18"/>
      <w:szCs w:val="1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广州捷威思</Company>
  <Pages>13</Pages>
  <Words>9458</Words>
  <Characters>11675</Characters>
  <Lines>11</Lines>
  <Paragraphs>3</Paragraphs>
  <TotalTime>75</TotalTime>
  <ScaleCrop>false</ScaleCrop>
  <LinksUpToDate>false</LinksUpToDate>
  <CharactersWithSpaces>12283</CharactersWithSpaces>
  <Application>WPS Office_12.1.23540.23540_F1E327BC-269C-435d-A152-05C5408002CA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2017-04-23T14:04:00Z</dcterms:created>
  <dc:creator>周洪波</dc:creator>
  <cp:lastModifiedBy>爱酷 欧瑞博商务</cp:lastModifiedBy>
  <cp:lastPrinted>2025-11-06T01:31:00Z</cp:lastPrinted>
  <dcterms:modified xsi:type="dcterms:W3CDTF">2025-11-07T18:02:47Z</dcterms:modified>
  <dc:title>购销合同</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2052-12.1.23540.23540</vt:lpwstr>
  </property>
  <property fmtid="{D5CDD505-2E9C-101B-9397-08002B2CF9AE}" pid="3" name="ICV">
    <vt:lpwstr>35BA97F3C11A43ABB1B5570F6D227AE8_13</vt:lpwstr>
  </property>
  <property fmtid="{D5CDD505-2E9C-101B-9397-08002B2CF9AE}" pid="4" name="KSOTemplateDocerSaveRecord">
    <vt:lpwstr>eyJoZGlkIjoiOGJhNmNhZDgwZGFiODE2NGMwZjEwYTY5OGVkNjA4MjAifQ==</vt:lpwstr>
  </property>
</Properties>
</file>