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3BDC542">
      <w:pPr>
        <w:keepNext w:val="0"/>
        <w:keepLines w:val="0"/>
        <w:pageBreakBefore w:val="0"/>
        <w:widowControl w:val="0"/>
        <w:suppressLineNumbers w:val="0"/>
        <w:kinsoku/>
        <w:wordWrap w:val="0"/>
        <w:overflowPunct/>
        <w:topLinePunct w:val="0"/>
        <w:autoSpaceDE/>
        <w:autoSpaceDN/>
        <w:bidi w:val="0"/>
        <w:adjustRightInd/>
        <w:snapToGrid w:val="0"/>
        <w:spacing w:before="1400" w:beforeAutospacing="0" w:afterAutospacing="0" w:line="240" w:lineRule="auto"/>
        <w:ind w:left="0" w:leftChars="0" w:right="250" w:rightChars="119" w:firstLine="0" w:firstLineChars="0"/>
        <w:jc w:val="right"/>
        <w:textAlignment w:val="auto"/>
        <w:outlineLvl w:val="9"/>
        <w:rPr>
          <w:rFonts w:hint="eastAsia" w:ascii="仿宋" w:hAnsi="仿宋" w:eastAsia="仿宋" w:cs="仿宋"/>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榕环评〔2025〕69号</w:t>
      </w:r>
    </w:p>
    <w:p w14:paraId="51A16176">
      <w:pPr>
        <w:keepNext w:val="0"/>
        <w:keepLines w:val="0"/>
        <w:pageBreakBefore w:val="0"/>
        <w:widowControl w:val="0"/>
        <w:suppressLineNumbers w:val="0"/>
        <w:kinsoku/>
        <w:wordWrap/>
        <w:overflowPunct/>
        <w:topLinePunct w:val="0"/>
        <w:autoSpaceDE/>
        <w:autoSpaceDN/>
        <w:bidi w:val="0"/>
        <w:adjustRightInd/>
        <w:snapToGrid w:val="0"/>
        <w:spacing w:beforeAutospacing="0" w:after="0" w:afterAutospacing="0"/>
        <w:ind w:left="0" w:right="0"/>
        <w:jc w:val="center"/>
        <w:textAlignment w:val="auto"/>
        <w:rPr>
          <w:rFonts w:hint="eastAsia" w:ascii="长城小标宋体" w:hAnsi="长城小标宋体" w:eastAsia="长城小标宋体" w:cs="长城小标宋体"/>
          <w:b/>
          <w:bCs/>
          <w:sz w:val="40"/>
          <w:szCs w:val="40"/>
          <w:highlight w:val="none"/>
          <w:lang w:val="en-US"/>
        </w:rPr>
      </w:pPr>
      <w:r>
        <w:rPr>
          <w:rFonts w:hint="eastAsia" w:ascii="长城小标宋体" w:hAnsi="长城小标宋体" w:eastAsia="长城小标宋体" w:cs="长城小标宋体"/>
          <w:b/>
          <w:bCs/>
          <w:kern w:val="2"/>
          <w:sz w:val="40"/>
          <w:szCs w:val="40"/>
          <w:highlight w:val="none"/>
          <w:lang w:val="en-US" w:eastAsia="zh-CN" w:bidi="ar"/>
        </w:rPr>
        <w:t>福州市生态环境局关于滨海新城五显鼻退塘还湿与生境修复工程环境影响报告表的审批意见</w:t>
      </w:r>
    </w:p>
    <w:p w14:paraId="27E52033">
      <w:pPr>
        <w:keepNext w:val="0"/>
        <w:keepLines w:val="0"/>
        <w:widowControl w:val="0"/>
        <w:suppressLineNumbers w:val="0"/>
        <w:snapToGrid w:val="0"/>
        <w:spacing w:before="0" w:beforeAutospacing="0" w:after="0" w:afterAutospacing="0" w:line="600" w:lineRule="exact"/>
        <w:ind w:left="0" w:right="0"/>
        <w:jc w:val="both"/>
        <w:rPr>
          <w:rFonts w:hint="eastAsia" w:ascii="仿宋_GB2312" w:hAnsi="Times New Roman" w:eastAsia="仿宋_GB2312" w:cs="仿宋_GB2312"/>
          <w:kern w:val="2"/>
          <w:sz w:val="32"/>
          <w:szCs w:val="32"/>
          <w:highlight w:val="none"/>
          <w:lang w:val="en-US" w:eastAsia="zh-CN" w:bidi="ar"/>
        </w:rPr>
      </w:pPr>
    </w:p>
    <w:p w14:paraId="1B8BE3FB">
      <w:pPr>
        <w:keepNext w:val="0"/>
        <w:keepLines w:val="0"/>
        <w:widowControl w:val="0"/>
        <w:suppressLineNumbers w:val="0"/>
        <w:snapToGrid w:val="0"/>
        <w:spacing w:before="0" w:beforeAutospacing="0" w:after="0" w:afterAutospacing="0" w:line="600" w:lineRule="exact"/>
        <w:ind w:left="0" w:right="0"/>
        <w:jc w:val="both"/>
        <w:rPr>
          <w:rFonts w:hint="eastAsia" w:ascii="仿宋_GB2312" w:eastAsia="仿宋_GB2312" w:cs="仿宋_GB2312"/>
          <w:sz w:val="32"/>
          <w:szCs w:val="32"/>
          <w:highlight w:val="none"/>
          <w:lang w:val="en-US"/>
        </w:rPr>
      </w:pPr>
      <w:r>
        <w:rPr>
          <w:rFonts w:hint="eastAsia" w:ascii="仿宋_GB2312" w:hAnsi="Times New Roman" w:eastAsia="仿宋_GB2312" w:cs="仿宋_GB2312"/>
          <w:kern w:val="2"/>
          <w:sz w:val="32"/>
          <w:szCs w:val="32"/>
          <w:highlight w:val="none"/>
          <w:lang w:val="en-US" w:eastAsia="zh-CN" w:bidi="ar"/>
        </w:rPr>
        <w:t>福州新区开发投资集团有限公司：</w:t>
      </w:r>
    </w:p>
    <w:p w14:paraId="02D7123A">
      <w:pPr>
        <w:keepNext w:val="0"/>
        <w:keepLines w:val="0"/>
        <w:widowControl w:val="0"/>
        <w:suppressLineNumbers w:val="0"/>
        <w:snapToGrid w:val="0"/>
        <w:spacing w:before="0" w:beforeAutospacing="0" w:after="0" w:afterAutospacing="0" w:line="600" w:lineRule="exact"/>
        <w:ind w:left="0" w:right="0" w:firstLine="624" w:firstLineChars="195"/>
        <w:jc w:val="both"/>
        <w:rPr>
          <w:rFonts w:hint="eastAsia" w:ascii="仿宋_GB2312" w:hAnsi="Times New Roman" w:eastAsia="仿宋_GB2312" w:cs="仿宋_GB2312"/>
          <w:kern w:val="2"/>
          <w:sz w:val="32"/>
          <w:szCs w:val="32"/>
          <w:highlight w:val="none"/>
          <w:lang w:val="en-US" w:eastAsia="zh-CN" w:bidi="ar"/>
        </w:rPr>
      </w:pPr>
      <w:r>
        <w:rPr>
          <w:rFonts w:hint="eastAsia" w:ascii="仿宋_GB2312" w:hAnsi="Times New Roman" w:eastAsia="仿宋_GB2312" w:cs="仿宋_GB2312"/>
          <w:kern w:val="2"/>
          <w:sz w:val="32"/>
          <w:szCs w:val="32"/>
          <w:highlight w:val="none"/>
          <w:lang w:val="en-US" w:eastAsia="zh-CN" w:bidi="ar"/>
        </w:rPr>
        <w:t>你司报送的《滨海新城五显鼻退塘还湿与生境修复工程环境影响报告表》(以下简称《报告表》)收悉。根据</w:t>
      </w:r>
      <w:bookmarkStart w:id="0" w:name="_GoBack"/>
      <w:bookmarkEnd w:id="0"/>
      <w:r>
        <w:rPr>
          <w:rFonts w:hint="eastAsia" w:ascii="仿宋_GB2312" w:hAnsi="Times New Roman" w:eastAsia="仿宋_GB2312" w:cs="仿宋_GB2312"/>
          <w:kern w:val="2"/>
          <w:sz w:val="32"/>
          <w:szCs w:val="32"/>
          <w:highlight w:val="none"/>
          <w:lang w:val="en-US" w:eastAsia="zh-CN" w:bidi="ar"/>
        </w:rPr>
        <w:t>《中华人民共和国环境影响评价法》第二十二条等规定，并征求福州市长乐生态环境局意见，现提出审批意见如下：</w:t>
      </w:r>
    </w:p>
    <w:p w14:paraId="7D0BB034">
      <w:pPr>
        <w:keepNext w:val="0"/>
        <w:keepLines w:val="0"/>
        <w:widowControl w:val="0"/>
        <w:numPr>
          <w:ilvl w:val="0"/>
          <w:numId w:val="1"/>
        </w:numPr>
        <w:suppressLineNumbers w:val="0"/>
        <w:snapToGrid w:val="0"/>
        <w:spacing w:before="0" w:beforeAutospacing="0" w:after="0" w:afterAutospacing="0" w:line="600" w:lineRule="exact"/>
        <w:ind w:right="0" w:rightChars="0" w:firstLine="640" w:firstLineChars="200"/>
        <w:jc w:val="both"/>
        <w:rPr>
          <w:rFonts w:hint="eastAsia"/>
          <w:highlight w:val="none"/>
          <w:lang w:val="en-US" w:eastAsia="zh-CN"/>
        </w:rPr>
      </w:pPr>
      <w:r>
        <w:rPr>
          <w:rFonts w:hint="eastAsia" w:ascii="仿宋_GB2312" w:hAnsi="Times New Roman" w:eastAsia="仿宋_GB2312" w:cs="仿宋_GB2312"/>
          <w:kern w:val="2"/>
          <w:sz w:val="32"/>
          <w:szCs w:val="32"/>
          <w:highlight w:val="none"/>
          <w:lang w:val="en-US" w:eastAsia="zh-CN" w:bidi="ar"/>
        </w:rPr>
        <w:t>滨海新城五显鼻退塘还湿与生境修复工程</w:t>
      </w:r>
      <w:r>
        <w:rPr>
          <w:rFonts w:hint="eastAsia" w:ascii="仿宋_GB2312" w:hAnsi="Times New Roman" w:eastAsia="仿宋_GB2312" w:cs="宋体"/>
          <w:kern w:val="0"/>
          <w:sz w:val="32"/>
          <w:szCs w:val="32"/>
          <w:highlight w:val="none"/>
          <w:lang w:val="en-US" w:eastAsia="zh-CN" w:bidi="ar"/>
        </w:rPr>
        <w:t>位于福州市长乐区梅花镇，主要建设内容包括：工程场地整理，底质改良修复工程，地形修复，湿地及后滨植被修复，生态浮床。根据《报告表》评价结论，该项目</w:t>
      </w:r>
      <w:r>
        <w:rPr>
          <w:rFonts w:hint="eastAsia" w:ascii="仿宋_GB2312" w:hAnsi="Times New Roman" w:eastAsia="仿宋_GB2312" w:cs="仿宋_GB2312"/>
          <w:color w:val="000000" w:themeColor="text1"/>
          <w:kern w:val="2"/>
          <w:sz w:val="32"/>
          <w:szCs w:val="32"/>
          <w:highlight w:val="none"/>
          <w:lang w:val="en-US" w:eastAsia="zh-CN" w:bidi="ar"/>
          <w14:textFill>
            <w14:solidFill>
              <w14:schemeClr w14:val="tx1"/>
            </w14:solidFill>
          </w14:textFill>
        </w:rPr>
        <w:t>符合生态环境保护相关法律法规和政策，符合生态环境分区管控</w:t>
      </w:r>
      <w:r>
        <w:rPr>
          <w:rFonts w:hint="eastAsia" w:ascii="仿宋_GB2312" w:hAnsi="Times New Roman" w:eastAsia="仿宋_GB2312" w:cs="宋体"/>
          <w:kern w:val="0"/>
          <w:sz w:val="32"/>
          <w:szCs w:val="32"/>
          <w:highlight w:val="none"/>
          <w:lang w:val="en-US" w:eastAsia="zh-CN" w:bidi="ar"/>
        </w:rPr>
        <w:t>。在严格落实《报告表》提出的各项生态环境保护和环境风险防控措施，加强环境管理的前提下，从环境影响角度分析，项目建设可行。我局原则同意《报告表》中所列建设项目的性质、规模、地点、工艺和拟采取的环境保护对策措施。</w:t>
      </w:r>
    </w:p>
    <w:p w14:paraId="3B251988">
      <w:pPr>
        <w:keepNext w:val="0"/>
        <w:keepLines w:val="0"/>
        <w:widowControl w:val="0"/>
        <w:numPr>
          <w:ilvl w:val="0"/>
          <w:numId w:val="2"/>
        </w:numPr>
        <w:suppressLineNumbers w:val="0"/>
        <w:snapToGrid w:val="0"/>
        <w:spacing w:before="0" w:beforeAutospacing="0" w:after="0" w:afterAutospacing="0" w:line="600" w:lineRule="exact"/>
        <w:ind w:left="0" w:right="0" w:firstLine="624" w:firstLineChars="195"/>
        <w:jc w:val="both"/>
        <w:rPr>
          <w:rFonts w:hint="eastAsia" w:ascii="仿宋_GB2312" w:hAnsi="Times New Roman" w:eastAsia="仿宋_GB2312" w:cs="宋体"/>
          <w:kern w:val="0"/>
          <w:sz w:val="32"/>
          <w:szCs w:val="32"/>
          <w:highlight w:val="none"/>
          <w:lang w:val="en-US" w:eastAsia="zh-CN" w:bidi="ar"/>
        </w:rPr>
      </w:pPr>
      <w:r>
        <w:rPr>
          <w:rFonts w:hint="eastAsia" w:ascii="仿宋_GB2312" w:hAnsi="Times New Roman" w:eastAsia="仿宋_GB2312" w:cs="宋体"/>
          <w:kern w:val="0"/>
          <w:sz w:val="32"/>
          <w:szCs w:val="32"/>
          <w:highlight w:val="none"/>
          <w:lang w:val="en-US" w:eastAsia="zh-CN" w:bidi="ar"/>
        </w:rPr>
        <w:t>项目在施工和运营中应认真落实《报告表》提出的各项环境保护措施。并重点做好以下工作：</w:t>
      </w:r>
    </w:p>
    <w:p w14:paraId="5D884499">
      <w:pPr>
        <w:keepNext w:val="0"/>
        <w:keepLines w:val="0"/>
        <w:widowControl w:val="0"/>
        <w:numPr>
          <w:ilvl w:val="0"/>
          <w:numId w:val="3"/>
        </w:numPr>
        <w:suppressLineNumbers w:val="0"/>
        <w:snapToGrid w:val="0"/>
        <w:spacing w:before="0" w:beforeAutospacing="0" w:after="0" w:afterAutospacing="0" w:line="600" w:lineRule="exact"/>
        <w:ind w:right="0" w:rightChars="0" w:firstLine="640" w:firstLineChars="200"/>
        <w:jc w:val="both"/>
        <w:rPr>
          <w:rFonts w:hint="eastAsia" w:ascii="仿宋_GB2312" w:hAnsi="Times New Roman" w:eastAsia="仿宋_GB2312" w:cs="宋体"/>
          <w:kern w:val="0"/>
          <w:sz w:val="32"/>
          <w:szCs w:val="32"/>
          <w:highlight w:val="none"/>
          <w:lang w:val="en-US" w:eastAsia="zh-CN" w:bidi="ar"/>
        </w:rPr>
      </w:pPr>
      <w:r>
        <w:rPr>
          <w:rFonts w:hint="eastAsia" w:ascii="仿宋_GB2312" w:hAnsi="Times New Roman" w:eastAsia="仿宋_GB2312" w:cs="宋体"/>
          <w:kern w:val="0"/>
          <w:sz w:val="32"/>
          <w:szCs w:val="32"/>
          <w:highlight w:val="none"/>
          <w:lang w:val="en-US" w:eastAsia="zh-CN" w:bidi="ar"/>
        </w:rPr>
        <w:t>生态保护措施。施工期严格控制施工范围</w:t>
      </w:r>
      <w:r>
        <w:rPr>
          <w:rFonts w:hint="eastAsia" w:ascii="仿宋_GB2312" w:hAnsi="Times New Roman" w:eastAsia="仿宋_GB2312" w:cs="宋体"/>
          <w:i w:val="0"/>
          <w:iCs w:val="0"/>
          <w:caps w:val="0"/>
          <w:color w:val="auto"/>
          <w:spacing w:val="0"/>
          <w:kern w:val="0"/>
          <w:sz w:val="32"/>
          <w:szCs w:val="32"/>
          <w:highlight w:val="none"/>
          <w:shd w:val="clear" w:fill="auto"/>
          <w:lang w:bidi="ar"/>
        </w:rPr>
        <w:t>，临时占地结束后</w:t>
      </w:r>
      <w:r>
        <w:rPr>
          <w:rFonts w:hint="eastAsia" w:ascii="仿宋_GB2312" w:hAnsi="Times New Roman" w:eastAsia="仿宋_GB2312" w:cs="宋体"/>
          <w:i w:val="0"/>
          <w:iCs w:val="0"/>
          <w:caps w:val="0"/>
          <w:color w:val="auto"/>
          <w:spacing w:val="0"/>
          <w:kern w:val="0"/>
          <w:sz w:val="32"/>
          <w:szCs w:val="32"/>
          <w:highlight w:val="none"/>
          <w:shd w:val="clear" w:fill="auto"/>
          <w:lang w:eastAsia="zh-CN" w:bidi="ar"/>
        </w:rPr>
        <w:t>及时</w:t>
      </w:r>
      <w:r>
        <w:rPr>
          <w:rFonts w:hint="eastAsia" w:ascii="仿宋_GB2312" w:hAnsi="Times New Roman" w:eastAsia="仿宋_GB2312" w:cs="宋体"/>
          <w:i w:val="0"/>
          <w:iCs w:val="0"/>
          <w:caps w:val="0"/>
          <w:color w:val="auto"/>
          <w:spacing w:val="0"/>
          <w:kern w:val="0"/>
          <w:sz w:val="32"/>
          <w:szCs w:val="32"/>
          <w:highlight w:val="none"/>
          <w:shd w:val="clear" w:fill="auto"/>
          <w:lang w:bidi="ar"/>
        </w:rPr>
        <w:t>实施恢复措施。合理安排施工时间，避开</w:t>
      </w:r>
      <w:r>
        <w:rPr>
          <w:rFonts w:hint="eastAsia" w:ascii="仿宋_GB2312" w:hAnsi="Times New Roman" w:eastAsia="仿宋_GB2312" w:cs="宋体"/>
          <w:i w:val="0"/>
          <w:iCs w:val="0"/>
          <w:caps w:val="0"/>
          <w:color w:val="auto"/>
          <w:spacing w:val="0"/>
          <w:kern w:val="0"/>
          <w:sz w:val="32"/>
          <w:szCs w:val="32"/>
          <w:highlight w:val="none"/>
          <w:shd w:val="clear" w:fill="auto"/>
          <w:lang w:eastAsia="zh-CN" w:bidi="ar"/>
        </w:rPr>
        <w:t>海洋生物繁殖期和鱼虾贝养殖周期，严格控制工程施工和作业范围，减少施工作业对底栖生物的影响</w:t>
      </w:r>
      <w:r>
        <w:rPr>
          <w:rFonts w:hint="eastAsia" w:ascii="仿宋_GB2312" w:hAnsi="Times New Roman" w:eastAsia="仿宋_GB2312" w:cs="宋体"/>
          <w:i w:val="0"/>
          <w:iCs w:val="0"/>
          <w:caps w:val="0"/>
          <w:color w:val="auto"/>
          <w:spacing w:val="0"/>
          <w:kern w:val="0"/>
          <w:sz w:val="32"/>
          <w:szCs w:val="32"/>
          <w:highlight w:val="none"/>
          <w:shd w:val="clear" w:fill="auto"/>
          <w:lang w:bidi="ar"/>
        </w:rPr>
        <w:t>。</w:t>
      </w:r>
    </w:p>
    <w:p w14:paraId="069A491E">
      <w:pPr>
        <w:keepNext w:val="0"/>
        <w:keepLines w:val="0"/>
        <w:widowControl w:val="0"/>
        <w:numPr>
          <w:ilvl w:val="-1"/>
          <w:numId w:val="0"/>
        </w:numPr>
        <w:suppressLineNumbers w:val="0"/>
        <w:snapToGrid w:val="0"/>
        <w:spacing w:before="0" w:beforeAutospacing="0" w:after="0" w:afterAutospacing="0" w:line="600" w:lineRule="exact"/>
        <w:ind w:right="0" w:rightChars="0" w:firstLine="640" w:firstLineChars="200"/>
        <w:jc w:val="both"/>
        <w:rPr>
          <w:rFonts w:hint="eastAsia" w:ascii="仿宋_GB2312" w:hAnsi="Times New Roman" w:eastAsia="仿宋_GB2312" w:cs="宋体"/>
          <w:kern w:val="0"/>
          <w:sz w:val="32"/>
          <w:szCs w:val="32"/>
          <w:highlight w:val="none"/>
          <w:lang w:val="en-US" w:eastAsia="zh-CN" w:bidi="ar"/>
        </w:rPr>
      </w:pPr>
      <w:r>
        <w:rPr>
          <w:rFonts w:hint="eastAsia" w:ascii="仿宋_GB2312" w:hAnsi="Times New Roman" w:eastAsia="仿宋_GB2312" w:cs="宋体"/>
          <w:kern w:val="0"/>
          <w:sz w:val="32"/>
          <w:szCs w:val="32"/>
          <w:highlight w:val="none"/>
          <w:lang w:val="en-US" w:eastAsia="zh-CN" w:bidi="ar"/>
        </w:rPr>
        <w:t>（二）固体废物处置措施。固体废物须按有关规定妥善处理，按照规定办理相关审批手续后，运送至合法的码头工程或临时堆放点进行处置。生活垃圾收集后送岸上交由有接收处理能力的单位进行妥善处理。</w:t>
      </w:r>
    </w:p>
    <w:p w14:paraId="25FBDA12">
      <w:pPr>
        <w:pStyle w:val="1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仿宋_GB2312" w:eastAsia="仿宋_GB2312"/>
          <w:sz w:val="32"/>
          <w:szCs w:val="32"/>
          <w:highlight w:val="none"/>
          <w:lang w:eastAsia="zh-CN"/>
        </w:rPr>
      </w:pPr>
      <w:r>
        <w:rPr>
          <w:rFonts w:hint="eastAsia" w:ascii="仿宋_GB2312" w:eastAsia="仿宋_GB2312"/>
          <w:sz w:val="32"/>
          <w:szCs w:val="32"/>
          <w:highlight w:val="none"/>
          <w:lang w:eastAsia="zh-CN"/>
        </w:rPr>
        <w:t>三、污染物排放标准</w:t>
      </w:r>
    </w:p>
    <w:p w14:paraId="1E520401">
      <w:pPr>
        <w:pStyle w:val="11"/>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eastAsia="仿宋_GB2312"/>
          <w:sz w:val="32"/>
          <w:szCs w:val="32"/>
          <w:highlight w:val="none"/>
          <w:lang w:val="en-US" w:eastAsia="zh-CN"/>
        </w:rPr>
      </w:pPr>
      <w:r>
        <w:rPr>
          <w:rFonts w:hint="eastAsia" w:eastAsia="仿宋_GB2312"/>
          <w:sz w:val="32"/>
          <w:szCs w:val="32"/>
          <w:highlight w:val="none"/>
          <w:lang w:val="en-US" w:eastAsia="zh-CN"/>
        </w:rPr>
        <w:t>1.</w:t>
      </w:r>
      <w:r>
        <w:rPr>
          <w:rFonts w:hint="eastAsia" w:eastAsia="仿宋_GB2312"/>
          <w:sz w:val="32"/>
          <w:szCs w:val="32"/>
          <w:highlight w:val="none"/>
          <w:lang w:eastAsia="zh-CN"/>
        </w:rPr>
        <w:t>施工期噪声执行《建筑施工场界环境噪声排放标准》（</w:t>
      </w:r>
      <w:r>
        <w:rPr>
          <w:rFonts w:hint="eastAsia" w:eastAsia="仿宋_GB2312"/>
          <w:sz w:val="32"/>
          <w:szCs w:val="32"/>
          <w:highlight w:val="none"/>
          <w:lang w:val="en-US" w:eastAsia="zh-CN"/>
        </w:rPr>
        <w:t>GB12523-2011</w:t>
      </w:r>
      <w:r>
        <w:rPr>
          <w:rFonts w:hint="eastAsia" w:eastAsia="仿宋_GB2312"/>
          <w:sz w:val="32"/>
          <w:szCs w:val="32"/>
          <w:highlight w:val="none"/>
          <w:lang w:eastAsia="zh-CN"/>
        </w:rPr>
        <w:t>）</w:t>
      </w:r>
      <w:r>
        <w:rPr>
          <w:rFonts w:hint="eastAsia" w:eastAsia="仿宋_GB2312"/>
          <w:sz w:val="32"/>
          <w:szCs w:val="32"/>
          <w:highlight w:val="none"/>
          <w:lang w:val="en-US" w:eastAsia="zh-CN"/>
        </w:rPr>
        <w:t>;</w:t>
      </w:r>
    </w:p>
    <w:p w14:paraId="5DDB5CC2">
      <w:pPr>
        <w:pStyle w:val="10"/>
        <w:rPr>
          <w:rFonts w:hint="default" w:ascii="仿宋_GB2312" w:eastAsia="仿宋_GB2312" w:hAnsiTheme="minorHAnsi" w:cstheme="minorBidi"/>
          <w:kern w:val="2"/>
          <w:sz w:val="32"/>
          <w:szCs w:val="32"/>
          <w:highlight w:val="none"/>
          <w:lang w:val="en-US" w:eastAsia="zh-CN" w:bidi="ar-SA"/>
        </w:rPr>
      </w:pPr>
      <w:r>
        <w:rPr>
          <w:rFonts w:hint="eastAsia" w:ascii="仿宋_GB2312" w:eastAsia="仿宋_GB2312" w:hAnsiTheme="minorHAnsi" w:cstheme="minorBidi"/>
          <w:kern w:val="2"/>
          <w:sz w:val="32"/>
          <w:szCs w:val="32"/>
          <w:highlight w:val="none"/>
          <w:lang w:val="en-US" w:eastAsia="zh-CN" w:bidi="ar-SA"/>
        </w:rPr>
        <w:t>2.施工期扬尘排放标准执行《大气污染物综合排放标准》(GB16297-1996)表 2 中无组织排放监控浓度限值</w:t>
      </w:r>
      <w:r>
        <w:rPr>
          <w:rFonts w:hint="eastAsia" w:ascii="仿宋_GB2312" w:eastAsia="仿宋_GB2312" w:cstheme="minorBidi"/>
          <w:kern w:val="2"/>
          <w:sz w:val="32"/>
          <w:szCs w:val="32"/>
          <w:highlight w:val="none"/>
          <w:lang w:val="en-US" w:eastAsia="zh-CN" w:bidi="ar-SA"/>
        </w:rPr>
        <w:t>；</w:t>
      </w:r>
    </w:p>
    <w:p w14:paraId="69D6E588">
      <w:pPr>
        <w:keepNext w:val="0"/>
        <w:keepLines w:val="0"/>
        <w:widowControl w:val="0"/>
        <w:numPr>
          <w:ilvl w:val="0"/>
          <w:numId w:val="0"/>
        </w:numPr>
        <w:suppressLineNumbers w:val="0"/>
        <w:snapToGrid w:val="0"/>
        <w:spacing w:before="0" w:beforeAutospacing="0" w:after="0" w:afterAutospacing="0" w:line="600" w:lineRule="exact"/>
        <w:ind w:right="0" w:rightChars="0" w:firstLine="640" w:firstLineChars="200"/>
        <w:jc w:val="both"/>
        <w:rPr>
          <w:rFonts w:hint="eastAsia" w:ascii="仿宋_GB2312" w:hAnsi="Times New Roman" w:eastAsia="仿宋_GB2312" w:cs="宋体"/>
          <w:kern w:val="0"/>
          <w:sz w:val="32"/>
          <w:szCs w:val="32"/>
          <w:highlight w:val="none"/>
          <w:lang w:val="en-US" w:eastAsia="zh-CN" w:bidi="ar"/>
        </w:rPr>
      </w:pPr>
      <w:r>
        <w:rPr>
          <w:rFonts w:hint="eastAsia" w:ascii="仿宋_GB2312" w:hAnsi="仿宋_GB2312" w:eastAsia="仿宋_GB2312" w:cs="仿宋_GB2312"/>
          <w:color w:val="auto"/>
          <w:kern w:val="2"/>
          <w:sz w:val="32"/>
          <w:szCs w:val="32"/>
          <w:highlight w:val="none"/>
          <w:lang w:val="en-US" w:eastAsia="zh-CN" w:bidi="ar-SA"/>
        </w:rPr>
        <w:t>3.危险废物执行《危险废物贮存污染控制标准》（GB18597-2023）要求，危险废物委托有资质单位处理；一般固体废物执行《一般工业固体废物贮存和填埋污染控制标准》（GB18599-2020）中相应类别的标准。</w:t>
      </w:r>
    </w:p>
    <w:p w14:paraId="4E6D5FDA">
      <w:pPr>
        <w:keepNext w:val="0"/>
        <w:keepLines w:val="0"/>
        <w:widowControl w:val="0"/>
        <w:suppressLineNumbers w:val="0"/>
        <w:snapToGrid w:val="0"/>
        <w:spacing w:before="0" w:beforeAutospacing="0" w:after="0" w:afterAutospacing="0" w:line="600" w:lineRule="exact"/>
        <w:ind w:right="0" w:firstLine="640" w:firstLineChars="200"/>
        <w:jc w:val="both"/>
        <w:rPr>
          <w:rFonts w:hint="eastAsia" w:ascii="仿宋_GB2312" w:hAnsi="Times New Roman" w:eastAsia="仿宋_GB2312" w:cs="宋体"/>
          <w:kern w:val="0"/>
          <w:sz w:val="32"/>
          <w:szCs w:val="32"/>
          <w:highlight w:val="none"/>
          <w:lang w:val="en-US" w:eastAsia="zh-CN" w:bidi="ar"/>
        </w:rPr>
      </w:pPr>
      <w:r>
        <w:rPr>
          <w:rFonts w:hint="eastAsia" w:ascii="仿宋_GB2312" w:hAnsi="Times New Roman" w:eastAsia="仿宋_GB2312" w:cs="宋体"/>
          <w:kern w:val="0"/>
          <w:sz w:val="32"/>
          <w:szCs w:val="32"/>
          <w:highlight w:val="none"/>
          <w:lang w:val="en-US" w:eastAsia="zh-CN" w:bidi="ar"/>
        </w:rPr>
        <w:t>四、《报告表》批准后，如建设项目的性质、规模、地点、采用的生产工艺或者防治污染、防止生态破坏的措施发生重大变动的，应当依法重新报批项目环评。《报告表》自批准之日起满5年，项目方开工建设的，其环评应当依法报生态环境部门重新审核。</w:t>
      </w:r>
    </w:p>
    <w:p w14:paraId="3FADAD16">
      <w:pPr>
        <w:keepNext w:val="0"/>
        <w:keepLines w:val="0"/>
        <w:widowControl w:val="0"/>
        <w:suppressLineNumbers w:val="0"/>
        <w:snapToGrid w:val="0"/>
        <w:spacing w:before="0" w:beforeAutospacing="0" w:after="0" w:afterAutospacing="0" w:line="600" w:lineRule="exact"/>
        <w:ind w:left="0" w:right="0" w:firstLine="624" w:firstLineChars="195"/>
        <w:jc w:val="both"/>
        <w:rPr>
          <w:rFonts w:hint="eastAsia" w:ascii="仿宋_GB2312" w:hAnsi="Times New Roman" w:eastAsia="仿宋_GB2312" w:cs="宋体"/>
          <w:kern w:val="0"/>
          <w:sz w:val="32"/>
          <w:szCs w:val="32"/>
          <w:highlight w:val="none"/>
          <w:lang w:val="en-US" w:eastAsia="zh-CN" w:bidi="ar"/>
        </w:rPr>
      </w:pPr>
      <w:r>
        <w:rPr>
          <w:rFonts w:hint="eastAsia" w:ascii="仿宋_GB2312" w:hAnsi="Times New Roman" w:eastAsia="仿宋_GB2312" w:cs="宋体"/>
          <w:kern w:val="0"/>
          <w:sz w:val="32"/>
          <w:szCs w:val="32"/>
          <w:highlight w:val="none"/>
          <w:lang w:val="en-US" w:eastAsia="zh-CN" w:bidi="ar"/>
        </w:rPr>
        <w:t>五、项目应加强环境管理，推进落实各项生态环境保护措施。严格执行环境保护“三同时”制度，加强施工期环境管理。竣工后应按规定程序实施竣工环境保护验收。</w:t>
      </w:r>
    </w:p>
    <w:p w14:paraId="40B1FDBB">
      <w:pPr>
        <w:keepNext w:val="0"/>
        <w:keepLines w:val="0"/>
        <w:widowControl w:val="0"/>
        <w:suppressLineNumbers w:val="0"/>
        <w:snapToGrid w:val="0"/>
        <w:spacing w:before="0" w:beforeAutospacing="0" w:after="0" w:afterAutospacing="0" w:line="600" w:lineRule="exact"/>
        <w:ind w:left="0" w:right="0" w:firstLine="640" w:firstLineChars="200"/>
        <w:jc w:val="both"/>
        <w:rPr>
          <w:rFonts w:hint="eastAsia" w:ascii="仿宋_GB2312" w:hAnsi="Times New Roman" w:eastAsia="仿宋_GB2312" w:cs="宋体"/>
          <w:kern w:val="0"/>
          <w:sz w:val="32"/>
          <w:szCs w:val="32"/>
          <w:highlight w:val="none"/>
          <w:lang w:val="en-US" w:eastAsia="zh-CN" w:bidi="ar"/>
        </w:rPr>
      </w:pPr>
      <w:r>
        <w:rPr>
          <w:rFonts w:hint="eastAsia" w:ascii="仿宋_GB2312" w:hAnsi="Times New Roman" w:eastAsia="仿宋_GB2312" w:cs="宋体"/>
          <w:kern w:val="0"/>
          <w:sz w:val="32"/>
          <w:szCs w:val="32"/>
          <w:highlight w:val="none"/>
          <w:lang w:val="en-US" w:eastAsia="zh-CN" w:bidi="ar"/>
        </w:rPr>
        <w:t>六、我局委托福州市生态环境保护综合执法支队开展该项目环保“三同时”监督检查，竣工后，由福州市长乐生态环境局负责该项目日常环保监督管理工作。</w:t>
      </w:r>
    </w:p>
    <w:p w14:paraId="6F9E6EEB">
      <w:pPr>
        <w:pStyle w:val="6"/>
        <w:widowControl/>
        <w:snapToGrid w:val="0"/>
        <w:spacing w:line="600" w:lineRule="exact"/>
        <w:ind w:right="1170" w:rightChars="557"/>
        <w:jc w:val="right"/>
        <w:rPr>
          <w:rFonts w:hint="eastAsia" w:ascii="仿宋_GB2312" w:eastAsia="仿宋_GB2312" w:cs="仿宋_GB2312"/>
          <w:highlight w:val="none"/>
          <w:lang w:eastAsia="zh-CN"/>
        </w:rPr>
      </w:pPr>
    </w:p>
    <w:p w14:paraId="336711BF">
      <w:pPr>
        <w:pStyle w:val="6"/>
        <w:widowControl/>
        <w:snapToGrid w:val="0"/>
        <w:spacing w:line="600" w:lineRule="exact"/>
        <w:ind w:right="1170" w:rightChars="557"/>
        <w:jc w:val="right"/>
        <w:rPr>
          <w:rFonts w:hint="eastAsia" w:ascii="仿宋_GB2312" w:eastAsia="仿宋_GB2312" w:cs="仿宋_GB2312"/>
          <w:highlight w:val="none"/>
          <w:lang w:val="en-US"/>
        </w:rPr>
      </w:pPr>
      <w:r>
        <w:rPr>
          <w:rFonts w:hint="eastAsia" w:ascii="仿宋_GB2312" w:eastAsia="仿宋_GB2312" w:cs="仿宋_GB2312"/>
          <w:highlight w:val="none"/>
          <w:lang w:eastAsia="zh-CN"/>
        </w:rPr>
        <w:t>福州市生态环境局</w:t>
      </w:r>
    </w:p>
    <w:p w14:paraId="13D5223C">
      <w:pPr>
        <w:pStyle w:val="6"/>
        <w:widowControl/>
        <w:snapToGrid w:val="0"/>
        <w:spacing w:line="600" w:lineRule="exact"/>
        <w:ind w:right="1170" w:rightChars="557"/>
        <w:jc w:val="right"/>
        <w:rPr>
          <w:rFonts w:hint="eastAsia" w:ascii="仿宋_GB2312" w:eastAsia="仿宋_GB2312" w:cs="仿宋_GB2312"/>
          <w:highlight w:val="none"/>
          <w:lang w:eastAsia="zh-CN"/>
        </w:rPr>
      </w:pPr>
      <w:r>
        <w:rPr>
          <w:rFonts w:hint="eastAsia" w:ascii="仿宋_GB2312" w:eastAsia="仿宋_GB2312" w:cs="仿宋_GB2312"/>
          <w:highlight w:val="none"/>
          <w:lang w:val="en-US"/>
        </w:rPr>
        <w:t>20</w:t>
      </w:r>
      <w:r>
        <w:rPr>
          <w:rFonts w:hint="eastAsia" w:ascii="仿宋_GB2312" w:eastAsia="仿宋_GB2312" w:cs="仿宋_GB2312"/>
          <w:highlight w:val="none"/>
          <w:lang w:val="en-US" w:eastAsia="zh-CN"/>
        </w:rPr>
        <w:t>25</w:t>
      </w:r>
      <w:r>
        <w:rPr>
          <w:rFonts w:hint="eastAsia" w:ascii="仿宋_GB2312" w:eastAsia="仿宋_GB2312" w:cs="仿宋_GB2312"/>
          <w:highlight w:val="none"/>
          <w:lang w:eastAsia="zh-CN"/>
        </w:rPr>
        <w:t>年</w:t>
      </w:r>
      <w:r>
        <w:rPr>
          <w:rFonts w:hint="eastAsia" w:ascii="仿宋_GB2312" w:eastAsia="仿宋_GB2312" w:cs="仿宋_GB2312"/>
          <w:highlight w:val="none"/>
          <w:lang w:val="en-US" w:eastAsia="zh-CN"/>
        </w:rPr>
        <w:t>12</w:t>
      </w:r>
      <w:r>
        <w:rPr>
          <w:rFonts w:hint="eastAsia" w:ascii="仿宋_GB2312" w:eastAsia="仿宋_GB2312" w:cs="仿宋_GB2312"/>
          <w:highlight w:val="none"/>
          <w:lang w:eastAsia="zh-CN"/>
        </w:rPr>
        <w:t>月</w:t>
      </w:r>
      <w:r>
        <w:rPr>
          <w:rFonts w:hint="eastAsia" w:ascii="仿宋_GB2312" w:eastAsia="仿宋_GB2312" w:cs="仿宋_GB2312"/>
          <w:highlight w:val="none"/>
          <w:lang w:val="en-US" w:eastAsia="zh-CN"/>
        </w:rPr>
        <w:t>12</w:t>
      </w:r>
      <w:r>
        <w:rPr>
          <w:rFonts w:hint="eastAsia" w:ascii="仿宋_GB2312" w:eastAsia="仿宋_GB2312" w:cs="仿宋_GB2312"/>
          <w:highlight w:val="none"/>
          <w:lang w:eastAsia="zh-CN"/>
        </w:rPr>
        <w:t>日</w:t>
      </w:r>
    </w:p>
    <w:p w14:paraId="6FC7D252">
      <w:pPr>
        <w:rPr>
          <w:rFonts w:hint="eastAsia" w:ascii="仿宋_GB2312" w:eastAsia="仿宋_GB2312" w:cs="仿宋_GB2312"/>
          <w:highlight w:val="none"/>
          <w:lang w:eastAsia="zh-CN"/>
        </w:rPr>
      </w:pPr>
    </w:p>
    <w:p w14:paraId="13317328">
      <w:pPr>
        <w:rPr>
          <w:rFonts w:hint="eastAsia" w:ascii="仿宋_GB2312" w:eastAsia="仿宋_GB2312" w:cs="仿宋_GB2312"/>
          <w:highlight w:val="none"/>
          <w:lang w:eastAsia="zh-CN"/>
        </w:rPr>
      </w:pPr>
    </w:p>
    <w:p w14:paraId="481D963B">
      <w:pPr>
        <w:rPr>
          <w:rFonts w:hint="eastAsia" w:ascii="仿宋_GB2312" w:eastAsia="仿宋_GB2312" w:cs="仿宋_GB2312"/>
          <w:highlight w:val="none"/>
          <w:lang w:eastAsia="zh-CN"/>
        </w:rPr>
      </w:pPr>
    </w:p>
    <w:p w14:paraId="7EA98514">
      <w:pPr>
        <w:rPr>
          <w:rFonts w:hint="eastAsia" w:ascii="仿宋_GB2312" w:eastAsia="仿宋_GB2312" w:cs="仿宋_GB2312"/>
          <w:highlight w:val="none"/>
          <w:lang w:eastAsia="zh-CN"/>
        </w:rPr>
      </w:pPr>
    </w:p>
    <w:p w14:paraId="4C1FCA13">
      <w:pPr>
        <w:rPr>
          <w:rFonts w:hint="eastAsia" w:ascii="仿宋_GB2312" w:eastAsia="仿宋_GB2312" w:cs="仿宋_GB2312"/>
          <w:highlight w:val="none"/>
          <w:lang w:eastAsia="zh-CN"/>
        </w:rPr>
      </w:pPr>
    </w:p>
    <w:p w14:paraId="5AA86E21">
      <w:pPr>
        <w:rPr>
          <w:rFonts w:hint="eastAsia" w:ascii="仿宋_GB2312" w:eastAsia="仿宋_GB2312" w:cs="仿宋_GB2312"/>
          <w:highlight w:val="none"/>
          <w:lang w:eastAsia="zh-CN"/>
        </w:rPr>
      </w:pPr>
    </w:p>
    <w:p w14:paraId="6984FF94">
      <w:pPr>
        <w:rPr>
          <w:rFonts w:hint="eastAsia" w:ascii="仿宋_GB2312" w:eastAsia="仿宋_GB2312" w:cs="仿宋_GB2312"/>
          <w:highlight w:val="none"/>
          <w:lang w:eastAsia="zh-CN"/>
        </w:rPr>
      </w:pPr>
    </w:p>
    <w:p w14:paraId="6381FA70">
      <w:pPr>
        <w:rPr>
          <w:rFonts w:hint="eastAsia" w:ascii="仿宋_GB2312" w:eastAsia="仿宋_GB2312" w:cs="仿宋_GB2312"/>
          <w:highlight w:val="none"/>
          <w:lang w:eastAsia="zh-CN"/>
        </w:rPr>
      </w:pPr>
    </w:p>
    <w:p w14:paraId="74ED1303">
      <w:pPr>
        <w:rPr>
          <w:rFonts w:hint="eastAsia" w:ascii="仿宋_GB2312" w:eastAsia="仿宋_GB2312" w:cs="仿宋_GB2312"/>
          <w:highlight w:val="none"/>
          <w:lang w:eastAsia="zh-CN"/>
        </w:rPr>
      </w:pPr>
    </w:p>
    <w:p w14:paraId="75E6EA0F">
      <w:pPr>
        <w:rPr>
          <w:rFonts w:hint="eastAsia" w:ascii="仿宋_GB2312" w:eastAsia="仿宋_GB2312" w:cs="仿宋_GB2312"/>
          <w:highlight w:val="none"/>
          <w:lang w:eastAsia="zh-CN"/>
        </w:rPr>
      </w:pPr>
    </w:p>
    <w:p w14:paraId="2383B52B">
      <w:pPr>
        <w:rPr>
          <w:rFonts w:hint="eastAsia" w:ascii="仿宋_GB2312" w:eastAsia="仿宋_GB2312" w:cs="仿宋_GB2312"/>
          <w:highlight w:val="none"/>
          <w:lang w:eastAsia="zh-CN"/>
        </w:rPr>
      </w:pPr>
    </w:p>
    <w:p w14:paraId="7DD2A40B">
      <w:pPr>
        <w:rPr>
          <w:rFonts w:hint="eastAsia" w:ascii="仿宋_GB2312" w:eastAsia="仿宋_GB2312" w:cs="仿宋_GB2312"/>
          <w:highlight w:val="none"/>
          <w:lang w:eastAsia="zh-CN"/>
        </w:rPr>
      </w:pPr>
    </w:p>
    <w:p w14:paraId="04E59315">
      <w:pPr>
        <w:rPr>
          <w:rFonts w:hint="eastAsia" w:ascii="仿宋_GB2312" w:eastAsia="仿宋_GB2312" w:cs="仿宋_GB2312"/>
          <w:highlight w:val="none"/>
          <w:lang w:eastAsia="zh-CN"/>
        </w:rPr>
      </w:pPr>
    </w:p>
    <w:p w14:paraId="743C3D68">
      <w:pPr>
        <w:rPr>
          <w:rFonts w:hint="eastAsia" w:ascii="仿宋_GB2312" w:eastAsia="仿宋_GB2312" w:cs="仿宋_GB2312"/>
          <w:highlight w:val="none"/>
          <w:lang w:eastAsia="zh-CN"/>
        </w:rPr>
      </w:pPr>
    </w:p>
    <w:p w14:paraId="20CA4B47">
      <w:pPr>
        <w:rPr>
          <w:rFonts w:hint="eastAsia" w:ascii="仿宋_GB2312" w:eastAsia="仿宋_GB2312" w:cs="仿宋_GB2312"/>
          <w:highlight w:val="none"/>
          <w:lang w:eastAsia="zh-CN"/>
        </w:rPr>
      </w:pPr>
    </w:p>
    <w:p w14:paraId="0D522182">
      <w:pPr>
        <w:rPr>
          <w:rFonts w:hint="eastAsia" w:ascii="仿宋_GB2312" w:eastAsia="仿宋_GB2312" w:cs="仿宋_GB2312"/>
          <w:highlight w:val="none"/>
          <w:lang w:eastAsia="zh-CN"/>
        </w:rPr>
      </w:pPr>
    </w:p>
    <w:p w14:paraId="16F6566D">
      <w:pPr>
        <w:rPr>
          <w:rFonts w:hint="eastAsia" w:ascii="仿宋_GB2312" w:eastAsia="仿宋_GB2312" w:cs="仿宋_GB2312"/>
          <w:highlight w:val="none"/>
          <w:lang w:eastAsia="zh-CN"/>
        </w:rPr>
      </w:pPr>
    </w:p>
    <w:p w14:paraId="4D0530AF">
      <w:pPr>
        <w:rPr>
          <w:rFonts w:hint="eastAsia" w:ascii="仿宋_GB2312" w:eastAsia="仿宋_GB2312" w:cs="仿宋_GB2312"/>
          <w:highlight w:val="none"/>
          <w:lang w:eastAsia="zh-CN"/>
        </w:rPr>
      </w:pPr>
    </w:p>
    <w:p w14:paraId="13B9E167">
      <w:pPr>
        <w:rPr>
          <w:rFonts w:hint="eastAsia" w:ascii="仿宋_GB2312" w:eastAsia="仿宋_GB2312" w:cs="仿宋_GB2312"/>
          <w:highlight w:val="none"/>
          <w:lang w:eastAsia="zh-CN"/>
        </w:rPr>
      </w:pPr>
    </w:p>
    <w:p w14:paraId="45E67025">
      <w:pPr>
        <w:rPr>
          <w:rFonts w:hint="eastAsia" w:ascii="仿宋_GB2312" w:eastAsia="仿宋_GB2312" w:cs="仿宋_GB2312"/>
          <w:highlight w:val="none"/>
          <w:lang w:eastAsia="zh-CN"/>
        </w:rPr>
      </w:pPr>
    </w:p>
    <w:p w14:paraId="310D25E9">
      <w:pPr>
        <w:rPr>
          <w:rFonts w:hint="eastAsia" w:ascii="仿宋_GB2312" w:eastAsia="仿宋_GB2312" w:cs="仿宋_GB2312"/>
          <w:highlight w:val="none"/>
          <w:lang w:val="en-US" w:eastAsia="zh-CN"/>
        </w:rPr>
      </w:pPr>
    </w:p>
    <w:p w14:paraId="26FB77AC">
      <w:pPr>
        <w:keepNext w:val="0"/>
        <w:keepLines w:val="0"/>
        <w:widowControl w:val="0"/>
        <w:suppressLineNumbers w:val="0"/>
        <w:snapToGrid w:val="0"/>
        <w:spacing w:before="0" w:beforeAutospacing="0" w:after="0" w:afterAutospacing="0"/>
        <w:ind w:left="0" w:right="0"/>
        <w:jc w:val="both"/>
        <w:rPr>
          <w:rFonts w:hint="eastAsia" w:ascii="仿宋_GB2312" w:eastAsia="仿宋_GB2312" w:cs="仿宋_GB2312"/>
          <w:highlight w:val="none"/>
          <w:lang w:val="en-US"/>
        </w:rPr>
      </w:pPr>
    </w:p>
    <w:tbl>
      <w:tblPr>
        <w:tblStyle w:val="12"/>
        <w:tblW w:w="871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155"/>
        <w:gridCol w:w="3885"/>
        <w:gridCol w:w="3675"/>
      </w:tblGrid>
      <w:tr w14:paraId="254A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155" w:type="dxa"/>
            <w:tcBorders>
              <w:top w:val="single" w:color="auto" w:sz="4" w:space="0"/>
              <w:left w:val="nil"/>
              <w:bottom w:val="single" w:color="auto" w:sz="4" w:space="0"/>
              <w:right w:val="nil"/>
            </w:tcBorders>
            <w:shd w:val="clear" w:color="auto" w:fill="auto"/>
            <w:vAlign w:val="center"/>
          </w:tcPr>
          <w:p w14:paraId="5E0DC435">
            <w:pPr>
              <w:keepNext w:val="0"/>
              <w:keepLines w:val="0"/>
              <w:widowControl w:val="0"/>
              <w:suppressLineNumbers w:val="0"/>
              <w:tabs>
                <w:tab w:val="left" w:pos="3885"/>
              </w:tabs>
              <w:spacing w:before="0" w:beforeAutospacing="0" w:after="0" w:afterAutospacing="0"/>
              <w:ind w:left="0" w:right="0" w:firstLine="179" w:firstLineChars="64"/>
              <w:jc w:val="both"/>
              <w:rPr>
                <w:rFonts w:hint="eastAsia" w:ascii="仿宋_GB2312" w:eastAsia="仿宋_GB2312" w:cs="仿宋_GB2312"/>
                <w:sz w:val="28"/>
                <w:szCs w:val="28"/>
                <w:highlight w:val="none"/>
                <w:lang w:val="en-US"/>
              </w:rPr>
            </w:pPr>
            <w:r>
              <w:rPr>
                <w:rFonts w:hint="eastAsia" w:ascii="仿宋_GB2312" w:hAnsi="Times New Roman" w:eastAsia="仿宋_GB2312" w:cs="仿宋_GB2312"/>
                <w:kern w:val="2"/>
                <w:sz w:val="28"/>
                <w:szCs w:val="28"/>
                <w:highlight w:val="none"/>
                <w:lang w:val="en-US" w:eastAsia="zh-CN" w:bidi="ar"/>
              </w:rPr>
              <w:t>抄送：</w:t>
            </w:r>
          </w:p>
        </w:tc>
        <w:tc>
          <w:tcPr>
            <w:tcW w:w="7560" w:type="dxa"/>
            <w:gridSpan w:val="2"/>
            <w:tcBorders>
              <w:top w:val="single" w:color="auto" w:sz="4" w:space="0"/>
              <w:left w:val="nil"/>
              <w:bottom w:val="single" w:color="auto" w:sz="4" w:space="0"/>
              <w:right w:val="nil"/>
            </w:tcBorders>
            <w:shd w:val="clear" w:color="auto" w:fill="auto"/>
            <w:vAlign w:val="center"/>
          </w:tcPr>
          <w:p w14:paraId="612AEC58">
            <w:pPr>
              <w:keepNext w:val="0"/>
              <w:keepLines w:val="0"/>
              <w:widowControl w:val="0"/>
              <w:suppressLineNumbers w:val="0"/>
              <w:tabs>
                <w:tab w:val="left" w:pos="3885"/>
              </w:tabs>
              <w:spacing w:before="0" w:beforeAutospacing="0" w:after="0" w:afterAutospacing="0"/>
              <w:ind w:left="0" w:right="0"/>
              <w:jc w:val="both"/>
              <w:rPr>
                <w:rFonts w:hint="eastAsia" w:ascii="仿宋_GB2312" w:eastAsia="仿宋_GB2312" w:cs="仿宋_GB2312"/>
                <w:sz w:val="28"/>
                <w:szCs w:val="28"/>
                <w:highlight w:val="none"/>
                <w:lang w:val="en-US"/>
              </w:rPr>
            </w:pPr>
            <w:r>
              <w:rPr>
                <w:rFonts w:hint="eastAsia" w:ascii="仿宋_GB2312" w:hAnsi="Times New Roman" w:eastAsia="仿宋_GB2312" w:cs="仿宋_GB2312"/>
                <w:kern w:val="2"/>
                <w:sz w:val="28"/>
                <w:szCs w:val="20"/>
                <w:highlight w:val="none"/>
                <w:lang w:val="en-US" w:eastAsia="zh-CN" w:bidi="ar"/>
              </w:rPr>
              <w:t>福州市生态环境保护综合执法支队，福州市长乐生态环境局，福建省环境保护设计院有限公司。</w:t>
            </w:r>
          </w:p>
        </w:tc>
      </w:tr>
      <w:tr w14:paraId="70E8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5040" w:type="dxa"/>
            <w:gridSpan w:val="2"/>
            <w:tcBorders>
              <w:top w:val="single" w:color="auto" w:sz="4" w:space="0"/>
              <w:left w:val="nil"/>
              <w:bottom w:val="single" w:color="auto" w:sz="4" w:space="0"/>
              <w:right w:val="nil"/>
            </w:tcBorders>
            <w:shd w:val="clear" w:color="auto" w:fill="auto"/>
            <w:vAlign w:val="center"/>
          </w:tcPr>
          <w:p w14:paraId="0497210E">
            <w:pPr>
              <w:keepNext w:val="0"/>
              <w:keepLines w:val="0"/>
              <w:widowControl w:val="0"/>
              <w:suppressLineNumbers w:val="0"/>
              <w:tabs>
                <w:tab w:val="left" w:pos="3885"/>
              </w:tabs>
              <w:spacing w:before="0" w:beforeAutospacing="0" w:after="0" w:afterAutospacing="0"/>
              <w:ind w:left="0" w:right="0" w:firstLine="179" w:firstLineChars="64"/>
              <w:jc w:val="both"/>
              <w:rPr>
                <w:rFonts w:eastAsia="仿宋_GB2312"/>
                <w:sz w:val="28"/>
                <w:szCs w:val="28"/>
                <w:highlight w:val="none"/>
                <w:lang w:val="en-US"/>
              </w:rPr>
            </w:pPr>
            <w:r>
              <w:rPr>
                <w:rFonts w:hint="eastAsia" w:ascii="仿宋_GB2312" w:hAnsi="Times New Roman" w:eastAsia="仿宋_GB2312" w:cs="仿宋_GB2312"/>
                <w:kern w:val="2"/>
                <w:sz w:val="28"/>
                <w:szCs w:val="28"/>
                <w:highlight w:val="none"/>
                <w:lang w:val="en-US" w:eastAsia="zh-CN" w:bidi="ar"/>
              </w:rPr>
              <w:t>福州市生态环境局</w:t>
            </w:r>
          </w:p>
        </w:tc>
        <w:tc>
          <w:tcPr>
            <w:tcW w:w="3675" w:type="dxa"/>
            <w:tcBorders>
              <w:top w:val="single" w:color="auto" w:sz="4" w:space="0"/>
              <w:left w:val="nil"/>
              <w:bottom w:val="single" w:color="auto" w:sz="4" w:space="0"/>
              <w:right w:val="nil"/>
            </w:tcBorders>
            <w:shd w:val="clear" w:color="auto" w:fill="auto"/>
            <w:vAlign w:val="center"/>
          </w:tcPr>
          <w:p w14:paraId="0E5D2E4F">
            <w:pPr>
              <w:keepNext w:val="0"/>
              <w:keepLines w:val="0"/>
              <w:widowControl w:val="0"/>
              <w:suppressLineNumbers w:val="0"/>
              <w:tabs>
                <w:tab w:val="left" w:pos="3882"/>
                <w:tab w:val="left" w:pos="3987"/>
              </w:tabs>
              <w:spacing w:before="0" w:beforeAutospacing="0" w:after="0" w:afterAutospacing="0"/>
              <w:ind w:left="0" w:right="311" w:rightChars="148"/>
              <w:jc w:val="right"/>
              <w:rPr>
                <w:rFonts w:eastAsia="仿宋_GB2312"/>
                <w:sz w:val="28"/>
                <w:szCs w:val="28"/>
                <w:highlight w:val="none"/>
                <w:lang w:val="en-US"/>
              </w:rPr>
            </w:pPr>
            <w:r>
              <w:rPr>
                <w:rFonts w:hint="eastAsia" w:ascii="仿宋_GB2312" w:hAnsi="Times New Roman" w:eastAsia="仿宋_GB2312" w:cs="仿宋_GB2312"/>
                <w:kern w:val="2"/>
                <w:sz w:val="28"/>
                <w:szCs w:val="28"/>
                <w:highlight w:val="none"/>
                <w:lang w:val="en-US" w:eastAsia="zh-CN" w:bidi="ar"/>
              </w:rPr>
              <w:t>2025年12月12日印发</w:t>
            </w:r>
          </w:p>
        </w:tc>
      </w:tr>
    </w:tbl>
    <w:p w14:paraId="7A095BC7">
      <w:pPr>
        <w:rPr>
          <w:highlight w:val="none"/>
        </w:rPr>
      </w:pPr>
    </w:p>
    <w:sectPr>
      <w:footerReference r:id="rId3" w:type="default"/>
      <w:pgSz w:w="11906" w:h="16838"/>
      <w:pgMar w:top="1701" w:right="1587" w:bottom="1417"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长城小标宋体">
    <w:altName w:val="宋体"/>
    <w:panose1 w:val="02010609010101010101"/>
    <w:charset w:val="86"/>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588B8F">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027935">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6027935">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EDC718"/>
    <w:multiLevelType w:val="singleLevel"/>
    <w:tmpl w:val="85EDC718"/>
    <w:lvl w:ilvl="0" w:tentative="0">
      <w:start w:val="1"/>
      <w:numFmt w:val="chineseCounting"/>
      <w:suff w:val="nothing"/>
      <w:lvlText w:val="（%1）"/>
      <w:lvlJc w:val="left"/>
      <w:rPr>
        <w:rFonts w:hint="eastAsia"/>
      </w:rPr>
    </w:lvl>
  </w:abstractNum>
  <w:abstractNum w:abstractNumId="1">
    <w:nsid w:val="AFF1B3A5"/>
    <w:multiLevelType w:val="singleLevel"/>
    <w:tmpl w:val="AFF1B3A5"/>
    <w:lvl w:ilvl="0" w:tentative="0">
      <w:start w:val="1"/>
      <w:numFmt w:val="chineseCounting"/>
      <w:suff w:val="nothing"/>
      <w:lvlText w:val="%1、"/>
      <w:lvlJc w:val="left"/>
      <w:rPr>
        <w:rFonts w:hint="eastAsia"/>
      </w:rPr>
    </w:lvl>
  </w:abstractNum>
  <w:abstractNum w:abstractNumId="2">
    <w:nsid w:val="2B0E5361"/>
    <w:multiLevelType w:val="singleLevel"/>
    <w:tmpl w:val="2B0E5361"/>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EwMmU4YmM1MTQ3ZDUyOWQxMDA5OGU4MmQ5YTNiMDAifQ=="/>
  </w:docVars>
  <w:rsids>
    <w:rsidRoot w:val="2A7F762B"/>
    <w:rsid w:val="00B96F15"/>
    <w:rsid w:val="014F132C"/>
    <w:rsid w:val="01DD6FC1"/>
    <w:rsid w:val="0219705A"/>
    <w:rsid w:val="02752D1F"/>
    <w:rsid w:val="02DC08EE"/>
    <w:rsid w:val="03CC5678"/>
    <w:rsid w:val="06CF3FDF"/>
    <w:rsid w:val="076B63F8"/>
    <w:rsid w:val="07B76A03"/>
    <w:rsid w:val="08877123"/>
    <w:rsid w:val="097912D2"/>
    <w:rsid w:val="0A0259D4"/>
    <w:rsid w:val="0A300A57"/>
    <w:rsid w:val="0A537496"/>
    <w:rsid w:val="0A7B2C42"/>
    <w:rsid w:val="0C585934"/>
    <w:rsid w:val="0EBC0E2F"/>
    <w:rsid w:val="100F211B"/>
    <w:rsid w:val="11B15CE9"/>
    <w:rsid w:val="123E696C"/>
    <w:rsid w:val="12D0457D"/>
    <w:rsid w:val="1339568F"/>
    <w:rsid w:val="13941148"/>
    <w:rsid w:val="155C0219"/>
    <w:rsid w:val="15B63938"/>
    <w:rsid w:val="16C049E6"/>
    <w:rsid w:val="17376763"/>
    <w:rsid w:val="173A433D"/>
    <w:rsid w:val="17C02571"/>
    <w:rsid w:val="185C0C0F"/>
    <w:rsid w:val="196B1FA1"/>
    <w:rsid w:val="1A07082D"/>
    <w:rsid w:val="1A2D6D57"/>
    <w:rsid w:val="1DB55799"/>
    <w:rsid w:val="20835F2C"/>
    <w:rsid w:val="213F3844"/>
    <w:rsid w:val="219278A5"/>
    <w:rsid w:val="23D1267C"/>
    <w:rsid w:val="24730722"/>
    <w:rsid w:val="25B53634"/>
    <w:rsid w:val="264F7B2D"/>
    <w:rsid w:val="26F17F87"/>
    <w:rsid w:val="26FA4A88"/>
    <w:rsid w:val="28A86FC8"/>
    <w:rsid w:val="2A7F762B"/>
    <w:rsid w:val="2A96147B"/>
    <w:rsid w:val="2AB7004F"/>
    <w:rsid w:val="2CAD0908"/>
    <w:rsid w:val="2D2F4B41"/>
    <w:rsid w:val="2E214D74"/>
    <w:rsid w:val="2E831059"/>
    <w:rsid w:val="2F096F87"/>
    <w:rsid w:val="2F652F3C"/>
    <w:rsid w:val="31DF7D29"/>
    <w:rsid w:val="32432891"/>
    <w:rsid w:val="32781451"/>
    <w:rsid w:val="336F4173"/>
    <w:rsid w:val="33B4282D"/>
    <w:rsid w:val="344B15E7"/>
    <w:rsid w:val="34565CE1"/>
    <w:rsid w:val="34B92A27"/>
    <w:rsid w:val="34E92473"/>
    <w:rsid w:val="374A21C5"/>
    <w:rsid w:val="376D4517"/>
    <w:rsid w:val="379F27DC"/>
    <w:rsid w:val="38FC70C7"/>
    <w:rsid w:val="396A64FB"/>
    <w:rsid w:val="3B7B6102"/>
    <w:rsid w:val="3C461732"/>
    <w:rsid w:val="3C7272A2"/>
    <w:rsid w:val="3DB945F5"/>
    <w:rsid w:val="3E7539AC"/>
    <w:rsid w:val="3F3640A2"/>
    <w:rsid w:val="402C102B"/>
    <w:rsid w:val="407707ED"/>
    <w:rsid w:val="40774E48"/>
    <w:rsid w:val="4152035B"/>
    <w:rsid w:val="438B4B5B"/>
    <w:rsid w:val="43CA10AF"/>
    <w:rsid w:val="45314B84"/>
    <w:rsid w:val="47C411B6"/>
    <w:rsid w:val="49203E9F"/>
    <w:rsid w:val="49641AB4"/>
    <w:rsid w:val="4A69668E"/>
    <w:rsid w:val="4A6A47C6"/>
    <w:rsid w:val="4A810DC1"/>
    <w:rsid w:val="4B0A1338"/>
    <w:rsid w:val="4B456184"/>
    <w:rsid w:val="4B997BD4"/>
    <w:rsid w:val="4BC03622"/>
    <w:rsid w:val="4CD339FE"/>
    <w:rsid w:val="4DB67CDD"/>
    <w:rsid w:val="4E4364B8"/>
    <w:rsid w:val="4E576091"/>
    <w:rsid w:val="5328504E"/>
    <w:rsid w:val="545C3B2A"/>
    <w:rsid w:val="56D6723A"/>
    <w:rsid w:val="56DD30D8"/>
    <w:rsid w:val="56FA33C7"/>
    <w:rsid w:val="570F789F"/>
    <w:rsid w:val="5773682D"/>
    <w:rsid w:val="59790483"/>
    <w:rsid w:val="5AB30E80"/>
    <w:rsid w:val="5D8466D6"/>
    <w:rsid w:val="5DB5204E"/>
    <w:rsid w:val="5E49718B"/>
    <w:rsid w:val="610D1793"/>
    <w:rsid w:val="61464082"/>
    <w:rsid w:val="61AC3705"/>
    <w:rsid w:val="61BD2347"/>
    <w:rsid w:val="635B63B9"/>
    <w:rsid w:val="64EE1C78"/>
    <w:rsid w:val="674F436D"/>
    <w:rsid w:val="676676DF"/>
    <w:rsid w:val="68D109FB"/>
    <w:rsid w:val="69AA484A"/>
    <w:rsid w:val="6C2A2F12"/>
    <w:rsid w:val="6C524909"/>
    <w:rsid w:val="6C783F2A"/>
    <w:rsid w:val="6CA5599E"/>
    <w:rsid w:val="6D0A06B5"/>
    <w:rsid w:val="6D7D15FA"/>
    <w:rsid w:val="6D8945FB"/>
    <w:rsid w:val="6E6E2E44"/>
    <w:rsid w:val="6E987BFC"/>
    <w:rsid w:val="6F460731"/>
    <w:rsid w:val="729D01D8"/>
    <w:rsid w:val="731146F1"/>
    <w:rsid w:val="73F3130E"/>
    <w:rsid w:val="749C56FE"/>
    <w:rsid w:val="74C42E63"/>
    <w:rsid w:val="75053496"/>
    <w:rsid w:val="75F77103"/>
    <w:rsid w:val="76CA152F"/>
    <w:rsid w:val="783B4C00"/>
    <w:rsid w:val="7A610908"/>
    <w:rsid w:val="7C031292"/>
    <w:rsid w:val="7C145F64"/>
    <w:rsid w:val="7C2D4322"/>
    <w:rsid w:val="7CC80452"/>
    <w:rsid w:val="7CDA4005"/>
    <w:rsid w:val="7F797F6D"/>
    <w:rsid w:val="7FA07AD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99"/>
    <w:rPr>
      <w:rFonts w:ascii="黑体" w:eastAsia="黑体" w:cs="黑体"/>
      <w:sz w:val="36"/>
      <w:szCs w:val="36"/>
    </w:rPr>
  </w:style>
  <w:style w:type="paragraph" w:styleId="5">
    <w:name w:val="Body Text Indent"/>
    <w:basedOn w:val="1"/>
    <w:unhideWhenUsed/>
    <w:qFormat/>
    <w:uiPriority w:val="0"/>
    <w:pPr>
      <w:spacing w:after="120"/>
      <w:ind w:left="420" w:leftChars="200"/>
    </w:pPr>
  </w:style>
  <w:style w:type="paragraph" w:styleId="6">
    <w:name w:val="Date"/>
    <w:basedOn w:val="1"/>
    <w:next w:val="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eastAsia="楷体_GB2312" w:cs="Times New Roman"/>
      <w:kern w:val="2"/>
      <w:sz w:val="32"/>
      <w:szCs w:val="20"/>
      <w:lang w:val="en-US" w:eastAsia="zh-CN" w:bidi="ar"/>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4"/>
    <w:next w:val="1"/>
    <w:qFormat/>
    <w:uiPriority w:val="0"/>
    <w:pPr>
      <w:overflowPunct w:val="0"/>
      <w:autoSpaceDE w:val="0"/>
      <w:autoSpaceDN w:val="0"/>
      <w:adjustRightInd w:val="0"/>
      <w:spacing w:line="360" w:lineRule="auto"/>
      <w:ind w:firstLine="539"/>
      <w:textAlignment w:val="baseline"/>
    </w:pPr>
    <w:rPr>
      <w:kern w:val="0"/>
      <w:sz w:val="28"/>
      <w:szCs w:val="20"/>
    </w:rPr>
  </w:style>
  <w:style w:type="paragraph" w:styleId="11">
    <w:name w:val="Body Text First Indent 2"/>
    <w:basedOn w:val="5"/>
    <w:next w:val="10"/>
    <w:qFormat/>
    <w:uiPriority w:val="0"/>
    <w:pPr>
      <w:spacing w:after="0" w:line="420" w:lineRule="exact"/>
      <w:ind w:left="0" w:leftChars="0" w:firstLine="420"/>
    </w:pPr>
    <w:rPr>
      <w:rFonts w:ascii="仿宋_GB2312" w:eastAsia="Times New Roman"/>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qFormat/>
    <w:uiPriority w:val="0"/>
    <w:rPr>
      <w:sz w:val="21"/>
      <w:szCs w:val="21"/>
    </w:rPr>
  </w:style>
  <w:style w:type="character" w:customStyle="1" w:styleId="16">
    <w:name w:val="5文章(治) Char"/>
    <w:basedOn w:val="14"/>
    <w:qFormat/>
    <w:uiPriority w:val="0"/>
    <w:rPr>
      <w:rFonts w:hint="eastAsia" w:ascii="楷体_GB2312" w:eastAsia="楷体_GB2312" w:cs="楷体_GB2312"/>
      <w:kern w:val="2"/>
      <w:sz w:val="28"/>
      <w:lang w:val="en-US" w:eastAsia="zh-CN" w:bidi="ar"/>
    </w:rPr>
  </w:style>
  <w:style w:type="paragraph" w:customStyle="1" w:styleId="17">
    <w:name w:val="表格文字"/>
    <w:basedOn w:val="1"/>
    <w:qFormat/>
    <w:uiPriority w:val="0"/>
    <w:pPr>
      <w:adjustRightInd w:val="0"/>
      <w:snapToGrid w:val="0"/>
      <w:spacing w:line="240" w:lineRule="auto"/>
      <w:jc w:val="center"/>
    </w:pPr>
    <w:rPr>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1090</Words>
  <Characters>1153</Characters>
  <Lines>0</Lines>
  <Paragraphs>0</Paragraphs>
  <TotalTime>120</TotalTime>
  <ScaleCrop>false</ScaleCrop>
  <LinksUpToDate>false</LinksUpToDate>
  <CharactersWithSpaces>1155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2016-03-09T02:21:00Z</dcterms:created>
  <dc:creator>Yuri</dc:creator>
  <cp:lastModifiedBy>。</cp:lastModifiedBy>
  <cp:lastPrinted>2025-12-12T02:02:00Z</cp:lastPrinted>
  <dcterms:modified xsi:type="dcterms:W3CDTF">2025-12-16T09:35:28Z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07A162A2473042D587B95B9EDB6B78DC_12</vt:lpwstr>
  </property>
  <property fmtid="{D5CDD505-2E9C-101B-9397-08002B2CF9AE}" pid="4" name="KSOTemplateDocerSaveRecord">
    <vt:lpwstr>eyJoZGlkIjoiYmM1YmI2NTQ3NTNjYzAxZDIwMWMyNWYyMTQzOGM5NDUiLCJ1c2VySWQiOiIzNjUxNDM5NDAifQ==</vt:lpwstr>
  </property>
</Properties>
</file>