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4C8F15">
      <w:pPr>
        <w:spacing w:line="283" w:lineRule="auto"/>
        <w:rPr>
          <w:rFonts w:ascii="Arial"/>
          <w:sz w:val="21"/>
        </w:rPr>
      </w:pPr>
    </w:p>
    <w:p w14:paraId="15476665">
      <w:pPr>
        <w:spacing w:line="283" w:lineRule="auto"/>
        <w:rPr>
          <w:rFonts w:ascii="Arial"/>
          <w:sz w:val="21"/>
        </w:rPr>
      </w:pPr>
    </w:p>
    <w:p w14:paraId="4CCDB89F">
      <w:pPr>
        <w:pStyle w:val="3"/>
        <w:spacing w:before="101" w:line="222" w:lineRule="auto"/>
        <w:jc w:val="right"/>
        <w:rPr>
          <w:spacing w:val="12"/>
          <w:highlight w:val="yellow"/>
        </w:rPr>
      </w:pPr>
    </w:p>
    <w:p w14:paraId="061B03CD">
      <w:pPr>
        <w:pStyle w:val="3"/>
        <w:spacing w:before="101" w:line="222" w:lineRule="auto"/>
        <w:jc w:val="right"/>
        <w:rPr>
          <w:spacing w:val="12"/>
          <w:highlight w:val="yellow"/>
        </w:rPr>
      </w:pPr>
    </w:p>
    <w:p w14:paraId="135F9A15">
      <w:pPr>
        <w:pStyle w:val="3"/>
        <w:spacing w:before="101" w:line="222" w:lineRule="auto"/>
        <w:jc w:val="right"/>
        <w:rPr>
          <w:spacing w:val="12"/>
          <w:highlight w:val="yellow"/>
        </w:rPr>
      </w:pPr>
    </w:p>
    <w:p w14:paraId="492B4EEF">
      <w:pPr>
        <w:pStyle w:val="3"/>
        <w:spacing w:before="101" w:line="222" w:lineRule="auto"/>
        <w:jc w:val="right"/>
        <w:rPr>
          <w:spacing w:val="12"/>
          <w:highlight w:val="none"/>
        </w:rPr>
      </w:pPr>
    </w:p>
    <w:p w14:paraId="35743C5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20" w:lineRule="exact"/>
        <w:ind w:firstLine="640" w:firstLineChars="200"/>
        <w:jc w:val="right"/>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榕环评〔2025〕63号</w:t>
      </w:r>
    </w:p>
    <w:p w14:paraId="73D5E5D6">
      <w:pPr>
        <w:rPr>
          <w:rFonts w:ascii="Arial"/>
          <w:sz w:val="21"/>
        </w:rPr>
      </w:pPr>
    </w:p>
    <w:p w14:paraId="186C2B13">
      <w:pPr>
        <w:rPr>
          <w:rFonts w:ascii="Arial"/>
          <w:sz w:val="21"/>
        </w:rPr>
      </w:pPr>
    </w:p>
    <w:p w14:paraId="0831C74D">
      <w:pPr>
        <w:spacing w:line="241" w:lineRule="auto"/>
        <w:rPr>
          <w:rFonts w:ascii="Arial"/>
          <w:sz w:val="21"/>
        </w:rPr>
      </w:pPr>
    </w:p>
    <w:p w14:paraId="092BC34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napToGrid/>
          <w:kern w:val="2"/>
          <w:sz w:val="44"/>
          <w:szCs w:val="44"/>
          <w:lang w:eastAsia="zh-CN"/>
        </w:rPr>
      </w:pPr>
      <w:r>
        <w:rPr>
          <w:rFonts w:hint="eastAsia" w:ascii="方正小标宋简体" w:hAnsi="方正小标宋简体" w:eastAsia="方正小标宋简体" w:cs="方正小标宋简体"/>
          <w:b w:val="0"/>
          <w:bCs w:val="0"/>
          <w:snapToGrid/>
          <w:kern w:val="2"/>
          <w:sz w:val="44"/>
          <w:szCs w:val="44"/>
          <w:lang w:eastAsia="zh-CN"/>
        </w:rPr>
        <w:t>福州市生态环境局</w:t>
      </w:r>
    </w:p>
    <w:p w14:paraId="48E300E3">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snapToGrid/>
          <w:kern w:val="2"/>
          <w:sz w:val="44"/>
          <w:szCs w:val="44"/>
          <w:lang w:eastAsia="zh-CN"/>
        </w:rPr>
      </w:pPr>
      <w:r>
        <w:rPr>
          <w:rFonts w:hint="eastAsia" w:ascii="方正小标宋简体" w:hAnsi="方正小标宋简体" w:eastAsia="方正小标宋简体" w:cs="方正小标宋简体"/>
          <w:b w:val="0"/>
          <w:bCs w:val="0"/>
          <w:snapToGrid/>
          <w:kern w:val="2"/>
          <w:sz w:val="44"/>
          <w:szCs w:val="44"/>
          <w:lang w:eastAsia="zh-CN"/>
        </w:rPr>
        <w:t>关于</w:t>
      </w:r>
      <w:r>
        <w:rPr>
          <w:rFonts w:hint="default" w:ascii="方正小标宋简体" w:hAnsi="方正小标宋简体" w:eastAsia="方正小标宋简体" w:cs="方正小标宋简体"/>
          <w:b w:val="0"/>
          <w:bCs w:val="0"/>
          <w:snapToGrid/>
          <w:color w:val="000000"/>
          <w:kern w:val="2"/>
          <w:sz w:val="44"/>
          <w:szCs w:val="44"/>
          <w:lang w:eastAsia="zh-CN"/>
        </w:rPr>
        <w:t>万华环保科技（福建）有限公司编组站高盐废水回用项目</w:t>
      </w:r>
      <w:r>
        <w:rPr>
          <w:rFonts w:hint="eastAsia" w:ascii="方正小标宋简体" w:hAnsi="方正小标宋简体" w:eastAsia="方正小标宋简体" w:cs="方正小标宋简体"/>
          <w:b w:val="0"/>
          <w:bCs w:val="0"/>
          <w:snapToGrid/>
          <w:kern w:val="2"/>
          <w:sz w:val="44"/>
          <w:szCs w:val="44"/>
          <w:lang w:eastAsia="zh-CN"/>
        </w:rPr>
        <w:t>环境影响报告书的审批意见</w:t>
      </w:r>
    </w:p>
    <w:p w14:paraId="349898EF">
      <w:pPr>
        <w:spacing w:line="289" w:lineRule="auto"/>
        <w:rPr>
          <w:rFonts w:ascii="Arial"/>
          <w:sz w:val="21"/>
        </w:rPr>
      </w:pPr>
    </w:p>
    <w:p w14:paraId="00246F39">
      <w:pPr>
        <w:spacing w:line="289" w:lineRule="auto"/>
        <w:rPr>
          <w:rFonts w:ascii="Arial"/>
          <w:sz w:val="21"/>
        </w:rPr>
      </w:pPr>
    </w:p>
    <w:p w14:paraId="11B58C2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宋体" w:eastAsia="仿宋_GB2312" w:cstheme="minorBidi"/>
          <w:snapToGrid/>
          <w:kern w:val="2"/>
          <w:sz w:val="32"/>
          <w:szCs w:val="32"/>
          <w:highlight w:val="none"/>
          <w:lang w:val="en-US" w:eastAsia="zh-CN"/>
        </w:rPr>
      </w:pPr>
      <w:r>
        <w:rPr>
          <w:rFonts w:hint="default" w:ascii="仿宋_GB2312" w:hAnsi="宋体" w:eastAsia="仿宋_GB2312" w:cstheme="minorBidi"/>
          <w:snapToGrid/>
          <w:kern w:val="2"/>
          <w:sz w:val="32"/>
          <w:szCs w:val="32"/>
          <w:highlight w:val="none"/>
          <w:lang w:val="en-US" w:eastAsia="zh-CN"/>
        </w:rPr>
        <w:t>万华环保科技（福建）有限公司</w:t>
      </w:r>
      <w:r>
        <w:rPr>
          <w:rFonts w:hint="eastAsia" w:ascii="仿宋_GB2312" w:hAnsi="宋体" w:eastAsia="仿宋_GB2312" w:cstheme="minorBidi"/>
          <w:snapToGrid/>
          <w:kern w:val="2"/>
          <w:sz w:val="32"/>
          <w:szCs w:val="32"/>
          <w:highlight w:val="none"/>
          <w:lang w:val="en-US" w:eastAsia="zh-CN"/>
        </w:rPr>
        <w:t>：</w:t>
      </w:r>
    </w:p>
    <w:p w14:paraId="45380A4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你司报送的《万华环保科技（福建）有限公司编组站高盐废水回用项目环境影响报告书》(以下简称《报告书》)及申请审批的报告收悉。根据《环境影响评价法》第22条等规定，经组织技术审查，并征求福州市福清生态环境局意见，现提出审批意见如下：</w:t>
      </w:r>
    </w:p>
    <w:p w14:paraId="68996270">
      <w:pPr>
        <w:pStyle w:val="4"/>
        <w:keepNext w:val="0"/>
        <w:keepLines w:val="0"/>
        <w:pageBreakBefore w:val="0"/>
        <w:widowControl w:val="0"/>
        <w:tabs>
          <w:tab w:val="left" w:pos="840"/>
        </w:tabs>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宋体" w:eastAsia="仿宋_GB2312" w:cstheme="minorBidi"/>
          <w:snapToGrid/>
          <w:kern w:val="2"/>
          <w:sz w:val="32"/>
          <w:szCs w:val="32"/>
          <w:highlight w:val="none"/>
          <w:lang w:val="en-US" w:eastAsia="zh-CN"/>
        </w:rPr>
        <w:t>一 、项目位于福州</w:t>
      </w:r>
      <w:r>
        <w:rPr>
          <w:rFonts w:hint="default" w:ascii="仿宋_GB2312" w:hAnsi="宋体" w:eastAsia="仿宋_GB2312" w:cstheme="minorBidi"/>
          <w:snapToGrid/>
          <w:kern w:val="2"/>
          <w:sz w:val="32"/>
          <w:szCs w:val="32"/>
          <w:highlight w:val="none"/>
          <w:lang w:val="en-US" w:eastAsia="zh-CN"/>
        </w:rPr>
        <w:t>江阴港城经济区西部化工工业片区万华环保公司编组站地块预留地内</w:t>
      </w:r>
      <w:r>
        <w:rPr>
          <w:rFonts w:hint="eastAsia" w:ascii="仿宋_GB2312" w:hAnsi="宋体" w:eastAsia="仿宋_GB2312" w:cstheme="minorBidi"/>
          <w:snapToGrid/>
          <w:kern w:val="2"/>
          <w:sz w:val="32"/>
          <w:szCs w:val="32"/>
          <w:highlight w:val="none"/>
          <w:lang w:val="en-US" w:eastAsia="zh-CN"/>
        </w:rPr>
        <w:t>,</w:t>
      </w:r>
      <w:r>
        <w:rPr>
          <w:rFonts w:hint="eastAsia" w:ascii="仿宋_GB2312" w:hAnsi="仿宋_GB2312" w:eastAsia="仿宋_GB2312" w:cs="仿宋_GB2312"/>
          <w:b w:val="0"/>
          <w:bCs w:val="0"/>
          <w:color w:val="auto"/>
          <w:sz w:val="32"/>
          <w:szCs w:val="32"/>
          <w:lang w:val="en-US" w:eastAsia="zh-CN"/>
        </w:rPr>
        <w:t>建设内容及规模为：建设高盐废水回用、高盐废水处理设施，中水回用预处理，中水回用及相关配套设施。高盐废水回用规模为65m</w:t>
      </w:r>
      <w:r>
        <w:rPr>
          <w:rFonts w:hint="eastAsia" w:ascii="仿宋_GB2312" w:hAnsi="仿宋_GB2312" w:eastAsia="仿宋_GB2312" w:cs="仿宋_GB2312"/>
          <w:b w:val="0"/>
          <w:bCs w:val="0"/>
          <w:color w:val="auto"/>
          <w:sz w:val="32"/>
          <w:szCs w:val="32"/>
          <w:vertAlign w:val="superscript"/>
          <w:lang w:val="en-US" w:eastAsia="zh-CN"/>
        </w:rPr>
        <w:t>3</w:t>
      </w:r>
      <w:r>
        <w:rPr>
          <w:rFonts w:hint="eastAsia" w:ascii="仿宋_GB2312" w:hAnsi="仿宋_GB2312" w:eastAsia="仿宋_GB2312" w:cs="仿宋_GB2312"/>
          <w:b w:val="0"/>
          <w:bCs w:val="0"/>
          <w:color w:val="auto"/>
          <w:sz w:val="32"/>
          <w:szCs w:val="32"/>
          <w:lang w:val="en-US" w:eastAsia="zh-CN"/>
        </w:rPr>
        <w:t>/h；高盐废水处理规模为40m</w:t>
      </w:r>
      <w:r>
        <w:rPr>
          <w:rFonts w:hint="eastAsia" w:ascii="仿宋_GB2312" w:hAnsi="仿宋_GB2312" w:eastAsia="仿宋_GB2312" w:cs="仿宋_GB2312"/>
          <w:b w:val="0"/>
          <w:bCs w:val="0"/>
          <w:color w:val="auto"/>
          <w:sz w:val="32"/>
          <w:szCs w:val="32"/>
          <w:vertAlign w:val="superscript"/>
          <w:lang w:val="en-US" w:eastAsia="zh-CN"/>
        </w:rPr>
        <w:t>3</w:t>
      </w:r>
      <w:r>
        <w:rPr>
          <w:rFonts w:hint="eastAsia" w:ascii="仿宋_GB2312" w:hAnsi="仿宋_GB2312" w:eastAsia="仿宋_GB2312" w:cs="仿宋_GB2312"/>
          <w:b w:val="0"/>
          <w:bCs w:val="0"/>
          <w:color w:val="auto"/>
          <w:sz w:val="32"/>
          <w:szCs w:val="32"/>
          <w:lang w:val="en-US" w:eastAsia="zh-CN"/>
        </w:rPr>
        <w:t>/h；中水回用预处理规模为1000m</w:t>
      </w:r>
      <w:r>
        <w:rPr>
          <w:rFonts w:hint="eastAsia" w:ascii="仿宋_GB2312" w:hAnsi="仿宋_GB2312" w:eastAsia="仿宋_GB2312" w:cs="仿宋_GB2312"/>
          <w:b w:val="0"/>
          <w:bCs w:val="0"/>
          <w:color w:val="auto"/>
          <w:sz w:val="32"/>
          <w:szCs w:val="32"/>
          <w:vertAlign w:val="superscript"/>
          <w:lang w:val="en-US" w:eastAsia="zh-CN"/>
        </w:rPr>
        <w:t>3</w:t>
      </w:r>
      <w:r>
        <w:rPr>
          <w:rFonts w:hint="eastAsia" w:ascii="仿宋_GB2312" w:hAnsi="仿宋_GB2312" w:eastAsia="仿宋_GB2312" w:cs="仿宋_GB2312"/>
          <w:b w:val="0"/>
          <w:bCs w:val="0"/>
          <w:color w:val="auto"/>
          <w:sz w:val="32"/>
          <w:szCs w:val="32"/>
          <w:lang w:val="en-US" w:eastAsia="zh-CN"/>
        </w:rPr>
        <w:t>/h;中水回用规模为1000m</w:t>
      </w:r>
      <w:r>
        <w:rPr>
          <w:rFonts w:hint="eastAsia" w:ascii="仿宋_GB2312" w:hAnsi="仿宋_GB2312" w:eastAsia="仿宋_GB2312" w:cs="仿宋_GB2312"/>
          <w:b w:val="0"/>
          <w:bCs w:val="0"/>
          <w:color w:val="auto"/>
          <w:sz w:val="32"/>
          <w:szCs w:val="32"/>
          <w:vertAlign w:val="superscript"/>
          <w:lang w:val="en-US" w:eastAsia="zh-CN"/>
        </w:rPr>
        <w:t>3</w:t>
      </w:r>
      <w:r>
        <w:rPr>
          <w:rFonts w:hint="eastAsia" w:ascii="仿宋_GB2312" w:hAnsi="仿宋_GB2312" w:eastAsia="仿宋_GB2312" w:cs="仿宋_GB2312"/>
          <w:b w:val="0"/>
          <w:bCs w:val="0"/>
          <w:color w:val="auto"/>
          <w:sz w:val="32"/>
          <w:szCs w:val="32"/>
          <w:lang w:val="en-US" w:eastAsia="zh-CN"/>
        </w:rPr>
        <w:t>/h。本次扩建项目厂外管廊管道、尾水排放口、辅助工程、公用工程均依托现有工程。</w:t>
      </w:r>
    </w:p>
    <w:p w14:paraId="5A9759E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color w:val="FF0000"/>
          <w:kern w:val="2"/>
          <w:sz w:val="32"/>
          <w:szCs w:val="32"/>
          <w:highlight w:val="none"/>
          <w:lang w:val="en-US" w:eastAsia="zh-CN"/>
        </w:rPr>
      </w:pPr>
    </w:p>
    <w:p w14:paraId="473525D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default" w:ascii="仿宋_GB2312" w:hAnsi="宋体" w:eastAsia="仿宋_GB2312" w:cstheme="minorBidi"/>
          <w:snapToGrid/>
          <w:kern w:val="2"/>
          <w:sz w:val="32"/>
          <w:szCs w:val="32"/>
          <w:highlight w:val="none"/>
          <w:lang w:val="en-US" w:eastAsia="zh-CN"/>
        </w:rPr>
        <w:t>根据《报告书》评价结论、福州市环境影响评价技术中心出具的技术评估报告(编</w:t>
      </w:r>
      <w:r>
        <w:rPr>
          <w:rFonts w:hint="default" w:ascii="仿宋_GB2312" w:hAnsi="宋体" w:eastAsia="仿宋_GB2312" w:cstheme="minorBidi"/>
          <w:snapToGrid/>
          <w:color w:val="auto"/>
          <w:kern w:val="2"/>
          <w:sz w:val="32"/>
          <w:szCs w:val="32"/>
          <w:highlight w:val="none"/>
          <w:lang w:val="en-US" w:eastAsia="zh-CN"/>
        </w:rPr>
        <w:t>号</w:t>
      </w:r>
      <w:r>
        <w:rPr>
          <w:rFonts w:hint="eastAsia" w:ascii="仿宋_GB2312" w:hAnsi="宋体" w:eastAsia="仿宋_GB2312" w:cstheme="minorBidi"/>
          <w:snapToGrid/>
          <w:color w:val="auto"/>
          <w:kern w:val="2"/>
          <w:sz w:val="32"/>
          <w:szCs w:val="32"/>
          <w:highlight w:val="none"/>
          <w:lang w:val="en-US" w:eastAsia="zh-CN"/>
        </w:rPr>
        <w:t>2-2025-036</w:t>
      </w:r>
      <w:r>
        <w:rPr>
          <w:rFonts w:hint="default" w:ascii="仿宋_GB2312" w:hAnsi="宋体" w:eastAsia="仿宋_GB2312" w:cstheme="minorBidi"/>
          <w:snapToGrid/>
          <w:color w:val="auto"/>
          <w:kern w:val="2"/>
          <w:sz w:val="32"/>
          <w:szCs w:val="32"/>
          <w:highlight w:val="none"/>
          <w:lang w:val="en-US" w:eastAsia="zh-CN"/>
        </w:rPr>
        <w:t>),该项目符合国家产业政策，</w:t>
      </w:r>
      <w:r>
        <w:rPr>
          <w:rFonts w:hint="default" w:ascii="仿宋_GB2312" w:hAnsi="宋体" w:eastAsia="仿宋_GB2312" w:cstheme="minorBidi"/>
          <w:snapToGrid/>
          <w:kern w:val="2"/>
          <w:sz w:val="32"/>
          <w:szCs w:val="32"/>
          <w:highlight w:val="none"/>
          <w:lang w:val="en-US" w:eastAsia="zh-CN"/>
        </w:rPr>
        <w:t>符合生态环境分区管控要求，符合《福州市化工产业发展专项规划(2025-2030年)》《福州江阴港城经济区</w:t>
      </w:r>
      <w:r>
        <w:rPr>
          <w:rFonts w:hint="eastAsia" w:ascii="仿宋_GB2312" w:hAnsi="宋体" w:eastAsia="仿宋_GB2312" w:cstheme="minorBidi"/>
          <w:snapToGrid/>
          <w:kern w:val="2"/>
          <w:sz w:val="32"/>
          <w:szCs w:val="32"/>
          <w:highlight w:val="none"/>
          <w:lang w:val="en-US" w:eastAsia="zh-CN"/>
        </w:rPr>
        <w:t>化工</w:t>
      </w:r>
      <w:r>
        <w:rPr>
          <w:rFonts w:hint="default" w:ascii="仿宋_GB2312" w:hAnsi="宋体" w:eastAsia="仿宋_GB2312" w:cstheme="minorBidi"/>
          <w:snapToGrid/>
          <w:kern w:val="2"/>
          <w:sz w:val="32"/>
          <w:szCs w:val="32"/>
          <w:highlight w:val="none"/>
          <w:lang w:val="en-US" w:eastAsia="zh-CN"/>
        </w:rPr>
        <w:t>新材料专区总体发展规划(2025-2030年)》及其规划环评要求。在全面落实《报告书》提出的污染防治和风险防控措施的前提下，从环境保护角度分析项目建设是可行的。我局同意项目按照《报告书》所列的建设项目地点、性质、规模以及环境保护对策措施进行建设。</w:t>
      </w:r>
    </w:p>
    <w:p w14:paraId="1E364D2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二、该项目的建设应严格执行环保“三同时”制度，进一步优化工程设计和污染防治措施，加强运行管理，持续提升清洁生产水平，强化各装置节能降耗措施。严格落实《报告书》提出的各项污染防治、生态保护和风险防控措施,完成现有工程环境问题整改，并重点做好以下工作：</w:t>
      </w:r>
    </w:p>
    <w:p w14:paraId="74AC55D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1.大气污染防治。中水回用预处理单元曝气生物滤池、新建高盐汽提废水处理系统污泥浓缩池、上清液储存池、离心脱水机、一级氧化池、二级氧化池</w:t>
      </w:r>
      <w:r>
        <w:rPr>
          <w:rFonts w:hint="eastAsia" w:ascii="仿宋_GB2312" w:hAnsi="仿宋_GB2312" w:eastAsia="仿宋_GB2312" w:cs="仿宋_GB2312"/>
          <w:color w:val="auto"/>
          <w:kern w:val="2"/>
          <w:sz w:val="32"/>
          <w:szCs w:val="32"/>
          <w:highlight w:val="none"/>
          <w:lang w:val="en-US" w:eastAsia="zh-CN"/>
        </w:rPr>
        <w:t>等构筑物加盖封闭、负压抽吸，废气经收集后采用“碱洗+水洗+生物除臭+活性炭吸附”</w:t>
      </w:r>
      <w:r>
        <w:rPr>
          <w:rFonts w:hint="eastAsia" w:ascii="仿宋_GB2312" w:hAnsi="仿宋_GB2312" w:eastAsia="仿宋_GB2312" w:cs="仿宋_GB2312"/>
          <w:color w:val="auto"/>
          <w:kern w:val="2"/>
          <w:sz w:val="32"/>
          <w:szCs w:val="32"/>
          <w:highlight w:val="none"/>
        </w:rPr>
        <w:t>处理达标后，</w:t>
      </w:r>
      <w:r>
        <w:rPr>
          <w:rFonts w:hint="eastAsia" w:ascii="仿宋_GB2312" w:hAnsi="仿宋_GB2312" w:eastAsia="仿宋_GB2312" w:cs="仿宋_GB2312"/>
          <w:color w:val="auto"/>
          <w:kern w:val="2"/>
          <w:sz w:val="32"/>
          <w:szCs w:val="32"/>
          <w:highlight w:val="none"/>
          <w:lang w:eastAsia="zh-CN"/>
        </w:rPr>
        <w:t>由排气筒引至不低于</w:t>
      </w:r>
      <w:r>
        <w:rPr>
          <w:rFonts w:hint="eastAsia" w:ascii="仿宋_GB2312" w:hAnsi="仿宋_GB2312" w:eastAsia="仿宋_GB2312" w:cs="仿宋_GB2312"/>
          <w:color w:val="auto"/>
          <w:kern w:val="2"/>
          <w:sz w:val="32"/>
          <w:szCs w:val="32"/>
          <w:highlight w:val="none"/>
          <w:lang w:val="en-US" w:eastAsia="zh-CN"/>
        </w:rPr>
        <w:t>30</w:t>
      </w:r>
      <w:r>
        <w:rPr>
          <w:rFonts w:hint="eastAsia" w:ascii="仿宋_GB2312" w:hAnsi="仿宋_GB2312" w:eastAsia="仿宋_GB2312" w:cs="仿宋_GB2312"/>
          <w:color w:val="auto"/>
          <w:kern w:val="2"/>
          <w:sz w:val="32"/>
          <w:szCs w:val="32"/>
          <w:highlight w:val="none"/>
        </w:rPr>
        <w:t>米高</w:t>
      </w:r>
      <w:r>
        <w:rPr>
          <w:rFonts w:hint="eastAsia" w:ascii="仿宋_GB2312" w:hAnsi="仿宋_GB2312" w:eastAsia="仿宋_GB2312" w:cs="仿宋_GB2312"/>
          <w:color w:val="auto"/>
          <w:kern w:val="2"/>
          <w:sz w:val="32"/>
          <w:szCs w:val="32"/>
          <w:highlight w:val="none"/>
          <w:lang w:eastAsia="zh-CN"/>
        </w:rPr>
        <w:t>空</w:t>
      </w:r>
      <w:r>
        <w:rPr>
          <w:rFonts w:hint="eastAsia" w:ascii="仿宋_GB2312" w:hAnsi="仿宋_GB2312" w:eastAsia="仿宋_GB2312" w:cs="仿宋_GB2312"/>
          <w:color w:val="auto"/>
          <w:kern w:val="2"/>
          <w:sz w:val="32"/>
          <w:szCs w:val="32"/>
          <w:highlight w:val="none"/>
        </w:rPr>
        <w:t>排放</w:t>
      </w:r>
      <w:r>
        <w:rPr>
          <w:rFonts w:hint="eastAsia" w:ascii="仿宋_GB2312" w:hAnsi="仿宋_GB2312" w:eastAsia="仿宋_GB2312" w:cs="仿宋_GB2312"/>
          <w:color w:val="auto"/>
          <w:kern w:val="2"/>
          <w:sz w:val="32"/>
          <w:szCs w:val="32"/>
          <w:highlight w:val="none"/>
          <w:lang w:eastAsia="zh-CN"/>
        </w:rPr>
        <w:t>；</w:t>
      </w:r>
      <w:r>
        <w:rPr>
          <w:rFonts w:hint="eastAsia" w:ascii="仿宋_GB2312" w:hAnsi="仿宋_GB2312" w:eastAsia="仿宋_GB2312" w:cs="仿宋_GB2312"/>
          <w:color w:val="auto"/>
          <w:kern w:val="2"/>
          <w:sz w:val="32"/>
          <w:szCs w:val="32"/>
          <w:highlight w:val="none"/>
        </w:rPr>
        <w:t>严格控制</w:t>
      </w:r>
      <w:r>
        <w:rPr>
          <w:rFonts w:hint="eastAsia" w:ascii="仿宋_GB2312" w:hAnsi="仿宋_GB2312" w:eastAsia="仿宋_GB2312" w:cs="仿宋_GB2312"/>
          <w:color w:val="auto"/>
          <w:kern w:val="2"/>
          <w:sz w:val="32"/>
          <w:szCs w:val="32"/>
          <w:highlight w:val="none"/>
          <w:lang w:eastAsia="zh-CN"/>
        </w:rPr>
        <w:t>废</w:t>
      </w:r>
      <w:r>
        <w:rPr>
          <w:rFonts w:hint="eastAsia" w:ascii="仿宋_GB2312" w:hAnsi="仿宋_GB2312" w:eastAsia="仿宋_GB2312" w:cs="仿宋_GB2312"/>
          <w:color w:val="auto"/>
          <w:kern w:val="2"/>
          <w:sz w:val="32"/>
          <w:szCs w:val="32"/>
          <w:highlight w:val="none"/>
        </w:rPr>
        <w:t>水处理</w:t>
      </w:r>
      <w:r>
        <w:rPr>
          <w:rFonts w:hint="eastAsia" w:ascii="仿宋_GB2312" w:hAnsi="仿宋_GB2312" w:eastAsia="仿宋_GB2312" w:cs="仿宋_GB2312"/>
          <w:color w:val="auto"/>
          <w:kern w:val="2"/>
          <w:sz w:val="32"/>
          <w:szCs w:val="32"/>
          <w:highlight w:val="none"/>
          <w:lang w:eastAsia="zh-CN"/>
        </w:rPr>
        <w:t>设施</w:t>
      </w:r>
      <w:r>
        <w:rPr>
          <w:rFonts w:hint="eastAsia" w:ascii="仿宋_GB2312" w:hAnsi="仿宋_GB2312" w:eastAsia="仿宋_GB2312" w:cs="仿宋_GB2312"/>
          <w:color w:val="auto"/>
          <w:kern w:val="2"/>
          <w:sz w:val="32"/>
          <w:szCs w:val="32"/>
          <w:highlight w:val="none"/>
        </w:rPr>
        <w:t>废气</w:t>
      </w:r>
      <w:r>
        <w:rPr>
          <w:rFonts w:hint="eastAsia" w:ascii="仿宋_GB2312" w:hAnsi="仿宋_GB2312" w:eastAsia="仿宋_GB2312" w:cs="仿宋_GB2312"/>
          <w:color w:val="auto"/>
          <w:kern w:val="2"/>
          <w:sz w:val="32"/>
          <w:szCs w:val="32"/>
          <w:highlight w:val="none"/>
          <w:lang w:eastAsia="zh-CN"/>
        </w:rPr>
        <w:t>等</w:t>
      </w:r>
      <w:r>
        <w:rPr>
          <w:rFonts w:hint="eastAsia" w:ascii="仿宋_GB2312" w:hAnsi="仿宋_GB2312" w:eastAsia="仿宋_GB2312" w:cs="仿宋_GB2312"/>
          <w:color w:val="auto"/>
          <w:kern w:val="2"/>
          <w:sz w:val="32"/>
          <w:szCs w:val="32"/>
          <w:highlight w:val="none"/>
        </w:rPr>
        <w:t>无组织排放。</w:t>
      </w:r>
    </w:p>
    <w:p w14:paraId="7ACE219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eastAsia="仿宋_GB2312" w:cs="仿宋_GB2312"/>
          <w:color w:val="auto"/>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2.水污染防治。扩建中水回用预处理单元采用“高效沉淀+臭氧接触氧化+曝气生物滤池+V型滤池”工艺，处理后出水排入中水回用单元；扩建</w:t>
      </w:r>
      <w:r>
        <w:rPr>
          <w:rFonts w:hint="eastAsia" w:ascii="仿宋_GB2312" w:hAnsi="仿宋_GB2312" w:eastAsia="仿宋_GB2312" w:cs="仿宋_GB2312"/>
          <w:color w:val="auto"/>
          <w:sz w:val="32"/>
          <w:szCs w:val="32"/>
          <w:lang w:val="en-US" w:eastAsia="zh-CN"/>
        </w:rPr>
        <w:t>中水回用单元采用“</w:t>
      </w:r>
      <w:r>
        <w:rPr>
          <w:rFonts w:hint="eastAsia" w:ascii="仿宋_GB2312" w:hAnsi="仿宋_GB2312" w:eastAsia="仿宋_GB2312" w:cs="仿宋_GB2312"/>
          <w:color w:val="auto"/>
          <w:sz w:val="32"/>
          <w:szCs w:val="32"/>
          <w:highlight w:val="none"/>
          <w:lang w:val="en-US" w:eastAsia="zh-CN"/>
        </w:rPr>
        <w:t>超滤+反渗透</w:t>
      </w:r>
      <w:r>
        <w:rPr>
          <w:rFonts w:hint="eastAsia" w:ascii="仿宋_GB2312" w:hAnsi="仿宋_GB2312" w:eastAsia="仿宋_GB2312" w:cs="仿宋_GB2312"/>
          <w:color w:val="auto"/>
          <w:sz w:val="32"/>
          <w:szCs w:val="32"/>
          <w:lang w:val="en-US" w:eastAsia="zh-CN"/>
        </w:rPr>
        <w:t>”工艺</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sz w:val="32"/>
          <w:szCs w:val="32"/>
          <w:highlight w:val="none"/>
          <w:lang w:val="en-US" w:eastAsia="zh-CN"/>
        </w:rPr>
        <w:t>产水</w:t>
      </w:r>
      <w:r>
        <w:rPr>
          <w:rFonts w:hint="eastAsia" w:ascii="仿宋_GB2312" w:hAnsi="仿宋_GB2312" w:eastAsia="仿宋_GB2312" w:cs="仿宋_GB2312"/>
          <w:sz w:val="32"/>
          <w:szCs w:val="32"/>
          <w:lang w:val="en-US" w:eastAsia="zh-CN"/>
        </w:rPr>
        <w:t>回用各循环水站补水，浓水排入</w:t>
      </w:r>
      <w:r>
        <w:rPr>
          <w:rFonts w:hint="eastAsia" w:ascii="仿宋_GB2312" w:hAnsi="仿宋_GB2312" w:eastAsia="仿宋_GB2312" w:cs="仿宋_GB2312"/>
          <w:color w:val="auto"/>
          <w:sz w:val="32"/>
          <w:szCs w:val="32"/>
          <w:highlight w:val="none"/>
          <w:lang w:val="en-US" w:eastAsia="zh-CN"/>
        </w:rPr>
        <w:t>进入异氰酸酯地块废水深处理单元采用“高效沉淀+硝化/反硝化滤池+臭氧氧化+生物滤池+接触氧化”工艺，</w:t>
      </w:r>
      <w:r>
        <w:rPr>
          <w:rFonts w:hint="eastAsia" w:ascii="仿宋_GB2312" w:hAnsi="仿宋_GB2312" w:eastAsia="仿宋_GB2312" w:cs="仿宋_GB2312"/>
          <w:sz w:val="32"/>
          <w:szCs w:val="32"/>
          <w:lang w:val="en-US" w:eastAsia="zh-CN"/>
        </w:rPr>
        <w:t>处理达标后，</w:t>
      </w:r>
      <w:r>
        <w:rPr>
          <w:rFonts w:hint="eastAsia" w:ascii="仿宋_GB2312" w:hAnsi="仿宋_GB2312" w:eastAsia="仿宋_GB2312" w:cs="仿宋_GB2312"/>
          <w:sz w:val="32"/>
          <w:szCs w:val="32"/>
          <w:highlight w:val="none"/>
        </w:rPr>
        <w:t>尾水</w:t>
      </w:r>
      <w:r>
        <w:rPr>
          <w:rFonts w:hint="eastAsia" w:ascii="仿宋_GB2312" w:eastAsia="仿宋_GB2312" w:cs="仿宋_GB2312"/>
          <w:sz w:val="32"/>
          <w:szCs w:val="32"/>
          <w:highlight w:val="none"/>
        </w:rPr>
        <w:t>排入</w:t>
      </w:r>
      <w:r>
        <w:rPr>
          <w:rFonts w:hint="eastAsia" w:ascii="仿宋_GB2312" w:hAnsi="仿宋" w:eastAsia="仿宋_GB2312" w:cs="宋体"/>
          <w:sz w:val="32"/>
          <w:szCs w:val="32"/>
          <w:highlight w:val="none"/>
          <w:lang w:eastAsia="zh-CN"/>
        </w:rPr>
        <w:t>园区</w:t>
      </w:r>
      <w:r>
        <w:rPr>
          <w:rFonts w:hint="eastAsia" w:ascii="仿宋_GB2312" w:hAnsi="仿宋" w:eastAsia="仿宋_GB2312" w:cs="宋体"/>
          <w:sz w:val="32"/>
          <w:szCs w:val="32"/>
          <w:highlight w:val="none"/>
        </w:rPr>
        <w:t>污水处理厂</w:t>
      </w:r>
      <w:r>
        <w:rPr>
          <w:rFonts w:hint="eastAsia" w:ascii="仿宋_GB2312" w:hAnsi="仿宋" w:eastAsia="仿宋_GB2312" w:cs="宋体"/>
          <w:sz w:val="32"/>
          <w:szCs w:val="32"/>
          <w:highlight w:val="none"/>
          <w:lang w:val="en-US" w:eastAsia="zh-CN"/>
        </w:rPr>
        <w:t>已建排海管道排海</w:t>
      </w:r>
      <w:r>
        <w:rPr>
          <w:rFonts w:hint="eastAsia" w:ascii="仿宋_GB2312" w:eastAsia="仿宋_GB2312" w:cs="仿宋_GB2312"/>
          <w:sz w:val="32"/>
          <w:szCs w:val="32"/>
          <w:highlight w:val="none"/>
          <w:lang w:val="en-US" w:eastAsia="zh-CN"/>
        </w:rPr>
        <w:t>；</w:t>
      </w:r>
      <w:r>
        <w:rPr>
          <w:rFonts w:hint="default" w:ascii="仿宋_GB2312" w:eastAsia="仿宋_GB2312" w:cs="仿宋_GB2312"/>
          <w:sz w:val="32"/>
          <w:szCs w:val="32"/>
          <w:highlight w:val="none"/>
          <w:lang w:val="en-US" w:eastAsia="zh-CN"/>
        </w:rPr>
        <w:t>富硝盐水处理系统采用纳滤工艺，产水送至</w:t>
      </w:r>
      <w:r>
        <w:rPr>
          <w:rFonts w:hint="eastAsia" w:ascii="仿宋_GB2312" w:eastAsia="仿宋_GB2312" w:cs="仿宋_GB2312"/>
          <w:sz w:val="32"/>
          <w:szCs w:val="32"/>
          <w:highlight w:val="none"/>
          <w:lang w:val="en-US" w:eastAsia="zh-CN"/>
        </w:rPr>
        <w:t>东南电化公司化盐池</w:t>
      </w:r>
      <w:r>
        <w:rPr>
          <w:rFonts w:hint="default" w:ascii="仿宋_GB2312" w:eastAsia="仿宋_GB2312" w:cs="仿宋_GB2312"/>
          <w:sz w:val="32"/>
          <w:szCs w:val="32"/>
          <w:highlight w:val="none"/>
          <w:lang w:val="en-US" w:eastAsia="zh-CN"/>
        </w:rPr>
        <w:t>综合利用，尾水进入编组站浓水处理单元</w:t>
      </w:r>
      <w:r>
        <w:rPr>
          <w:rFonts w:hint="eastAsia" w:ascii="仿宋_GB2312" w:eastAsia="仿宋_GB2312" w:cs="仿宋_GB2312"/>
          <w:sz w:val="32"/>
          <w:szCs w:val="32"/>
          <w:highlight w:val="none"/>
          <w:lang w:val="en-US" w:eastAsia="zh-CN"/>
        </w:rPr>
        <w:t>进行次氯酸钠氧化处理达标后</w:t>
      </w:r>
      <w:r>
        <w:rPr>
          <w:rFonts w:hint="eastAsia" w:ascii="仿宋_GB2312" w:eastAsia="仿宋_GB2312" w:cs="仿宋_GB2312"/>
          <w:sz w:val="32"/>
          <w:szCs w:val="32"/>
          <w:highlight w:val="none"/>
        </w:rPr>
        <w:t>排入</w:t>
      </w:r>
      <w:r>
        <w:rPr>
          <w:rFonts w:hint="eastAsia" w:ascii="仿宋_GB2312" w:eastAsia="仿宋_GB2312" w:cs="仿宋_GB2312"/>
          <w:sz w:val="32"/>
          <w:szCs w:val="32"/>
          <w:highlight w:val="none"/>
          <w:lang w:eastAsia="zh-CN"/>
        </w:rPr>
        <w:t>园区</w:t>
      </w:r>
      <w:r>
        <w:rPr>
          <w:rFonts w:hint="eastAsia" w:ascii="仿宋_GB2312" w:eastAsia="仿宋_GB2312" w:cs="仿宋_GB2312"/>
          <w:sz w:val="32"/>
          <w:szCs w:val="32"/>
          <w:highlight w:val="none"/>
        </w:rPr>
        <w:t>污水处理厂</w:t>
      </w:r>
      <w:r>
        <w:rPr>
          <w:rFonts w:hint="eastAsia" w:ascii="仿宋_GB2312" w:eastAsia="仿宋_GB2312" w:cs="仿宋_GB2312"/>
          <w:sz w:val="32"/>
          <w:szCs w:val="32"/>
          <w:highlight w:val="none"/>
          <w:lang w:val="en-US" w:eastAsia="zh-CN"/>
        </w:rPr>
        <w:t>已建排海管道排海</w:t>
      </w:r>
      <w:r>
        <w:rPr>
          <w:rFonts w:hint="eastAsia" w:ascii="仿宋_GB2312" w:eastAsia="仿宋_GB2312" w:cs="仿宋_GB2312"/>
          <w:sz w:val="32"/>
          <w:szCs w:val="32"/>
          <w:highlight w:val="none"/>
          <w:lang w:eastAsia="zh-CN"/>
        </w:rPr>
        <w:t>；</w:t>
      </w:r>
      <w:r>
        <w:rPr>
          <w:rFonts w:hint="default" w:ascii="仿宋_GB2312" w:eastAsia="仿宋_GB2312" w:cs="仿宋_GB2312"/>
          <w:sz w:val="32"/>
          <w:szCs w:val="32"/>
          <w:highlight w:val="none"/>
          <w:lang w:val="en-US" w:eastAsia="zh-CN"/>
        </w:rPr>
        <w:t>高盐汽提废水处理系统</w:t>
      </w:r>
      <w:r>
        <w:rPr>
          <w:rFonts w:hint="eastAsia" w:ascii="仿宋_GB2312" w:eastAsia="仿宋_GB2312" w:cs="仿宋_GB2312"/>
          <w:sz w:val="32"/>
          <w:szCs w:val="32"/>
          <w:highlight w:val="none"/>
          <w:lang w:val="en-US" w:eastAsia="zh-CN"/>
        </w:rPr>
        <w:t>采用“</w:t>
      </w:r>
      <w:r>
        <w:rPr>
          <w:rFonts w:hint="default" w:ascii="仿宋_GB2312" w:eastAsia="仿宋_GB2312" w:cs="仿宋_GB2312"/>
          <w:sz w:val="32"/>
          <w:szCs w:val="32"/>
          <w:highlight w:val="none"/>
        </w:rPr>
        <w:t>调节池+混凝沉淀+过滤+一级氧化+中和+二级氧化</w:t>
      </w:r>
      <w:r>
        <w:rPr>
          <w:rFonts w:hint="eastAsia" w:ascii="仿宋_GB2312" w:eastAsia="仿宋_GB2312" w:cs="仿宋_GB2312"/>
          <w:sz w:val="32"/>
          <w:szCs w:val="32"/>
          <w:highlight w:val="none"/>
          <w:lang w:val="en-US" w:eastAsia="zh-CN"/>
        </w:rPr>
        <w:t>”工艺，处理达标后</w:t>
      </w:r>
      <w:r>
        <w:rPr>
          <w:rFonts w:hint="default" w:ascii="仿宋_GB2312" w:eastAsia="仿宋_GB2312" w:cs="仿宋_GB2312"/>
          <w:color w:val="auto"/>
          <w:sz w:val="32"/>
          <w:szCs w:val="32"/>
          <w:highlight w:val="none"/>
          <w:lang w:val="en-US" w:eastAsia="zh-CN"/>
        </w:rPr>
        <w:t>尾水送至万华码头公司化盐池综合利用</w:t>
      </w:r>
      <w:r>
        <w:rPr>
          <w:rFonts w:hint="eastAsia" w:ascii="仿宋_GB2312" w:eastAsia="仿宋_GB2312" w:cs="仿宋_GB2312"/>
          <w:color w:val="auto"/>
          <w:sz w:val="32"/>
          <w:szCs w:val="32"/>
          <w:highlight w:val="none"/>
          <w:lang w:val="en-US" w:eastAsia="zh-CN"/>
        </w:rPr>
        <w:t>。</w:t>
      </w:r>
    </w:p>
    <w:p w14:paraId="14959C9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宋体" w:eastAsia="仿宋_GB2312" w:cstheme="minorBidi"/>
          <w:snapToGrid/>
          <w:kern w:val="2"/>
          <w:sz w:val="32"/>
          <w:szCs w:val="32"/>
          <w:highlight w:val="none"/>
          <w:lang w:val="en-US" w:eastAsia="zh-CN"/>
        </w:rPr>
      </w:pPr>
      <w:r>
        <w:rPr>
          <w:rFonts w:hint="default" w:ascii="仿宋_GB2312" w:hAnsi="宋体" w:eastAsia="仿宋_GB2312" w:cstheme="minorBidi"/>
          <w:snapToGrid/>
          <w:kern w:val="2"/>
          <w:sz w:val="32"/>
          <w:szCs w:val="32"/>
          <w:highlight w:val="none"/>
          <w:lang w:val="en-US" w:eastAsia="zh-CN"/>
        </w:rPr>
        <w:t>3.土壤和地下水污染防治。严格按照《地下污染源防渗技术指南》(试行)、《石油化工工程防渗技术规范》(GB/T50934-2013) 以及《环境影响评价技术导则-地下水环境》(HJ610-2016)等相关要求对各功能区进行分区防渗，并加强防渗设施的日常检查和维护。及时按照根据重点污染防治区平面布置、地下水流向，合理设置土壤和地下水监测点，严格落实土壤和地下水监测计划。</w:t>
      </w:r>
    </w:p>
    <w:p w14:paraId="35C2E63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4.噪声污染防治。优先选用低噪声设备，高噪声设备采取减 振、隔声、消声等综合降噪措施，确保厂界噪声达标。</w:t>
      </w:r>
    </w:p>
    <w:p w14:paraId="2AB256F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5.固体废物污染防治。遵循减量化、资源化、无害化的原则，采用先进的清洁生产工艺，减少固体废物产生量。加强固体废物的收集、贮存、转运和</w:t>
      </w:r>
      <w:r>
        <w:rPr>
          <w:rFonts w:hint="eastAsia" w:ascii="仿宋_GB2312" w:hAnsi="仿宋_GB2312" w:eastAsia="仿宋_GB2312" w:cs="仿宋_GB2312"/>
          <w:sz w:val="32"/>
          <w:szCs w:val="32"/>
          <w:highlight w:val="none"/>
          <w:lang w:val="en-US" w:eastAsia="zh-CN"/>
        </w:rPr>
        <w:t>处置的全过程管理，并采取有效的防渗漏、防扬尘措施。臭氧分解废催化剂、废纳</w:t>
      </w:r>
      <w:r>
        <w:rPr>
          <w:rFonts w:hint="default" w:ascii="仿宋_GB2312" w:hAnsi="仿宋_GB2312" w:eastAsia="仿宋_GB2312" w:cs="仿宋_GB2312"/>
          <w:sz w:val="32"/>
          <w:szCs w:val="32"/>
          <w:highlight w:val="none"/>
          <w:lang w:val="en-US" w:eastAsia="zh-CN"/>
        </w:rPr>
        <w:t>滤膜</w:t>
      </w:r>
      <w:r>
        <w:rPr>
          <w:rFonts w:hint="eastAsia" w:ascii="仿宋_GB2312" w:hAnsi="仿宋_GB2312" w:eastAsia="仿宋_GB2312" w:cs="仿宋_GB2312"/>
          <w:sz w:val="32"/>
          <w:szCs w:val="32"/>
          <w:highlight w:val="none"/>
          <w:lang w:val="zh-CN" w:eastAsia="zh-CN"/>
        </w:rPr>
        <w:t>等一般工业固体废物应全部回收外运综合利用。</w:t>
      </w:r>
      <w:r>
        <w:rPr>
          <w:rFonts w:hint="default" w:ascii="仿宋_GB2312" w:hAnsi="仿宋_GB2312" w:eastAsia="仿宋_GB2312" w:cs="仿宋_GB2312"/>
          <w:sz w:val="32"/>
          <w:szCs w:val="32"/>
          <w:highlight w:val="none"/>
          <w:lang w:val="en-US" w:eastAsia="zh-CN"/>
        </w:rPr>
        <w:t>化学污泥、</w:t>
      </w:r>
      <w:r>
        <w:rPr>
          <w:rFonts w:hint="eastAsia" w:ascii="仿宋_GB2312" w:hAnsi="仿宋_GB2312" w:eastAsia="仿宋_GB2312" w:cs="仿宋_GB2312"/>
          <w:sz w:val="32"/>
          <w:szCs w:val="32"/>
          <w:highlight w:val="none"/>
          <w:lang w:val="en-US" w:eastAsia="zh-CN"/>
        </w:rPr>
        <w:t>废水深处理单元</w:t>
      </w:r>
      <w:r>
        <w:rPr>
          <w:rFonts w:hint="default" w:ascii="仿宋_GB2312" w:hAnsi="仿宋_GB2312" w:eastAsia="仿宋_GB2312" w:cs="仿宋_GB2312"/>
          <w:sz w:val="32"/>
          <w:szCs w:val="32"/>
          <w:highlight w:val="none"/>
          <w:lang w:val="en-US" w:eastAsia="zh-CN"/>
        </w:rPr>
        <w:t>生化污泥</w:t>
      </w:r>
      <w:r>
        <w:rPr>
          <w:rFonts w:hint="eastAsia" w:ascii="仿宋_GB2312" w:hAnsi="仿宋_GB2312" w:eastAsia="仿宋_GB2312" w:cs="仿宋_GB2312"/>
          <w:sz w:val="32"/>
          <w:szCs w:val="32"/>
          <w:highlight w:val="none"/>
          <w:lang w:val="en-US" w:eastAsia="zh-CN"/>
        </w:rPr>
        <w:t>应按照相关技术规范鉴定其固废属性，并根据鉴别结果进行相应处理处置；在鉴定结果出来前，暂按照危险废物贮存和管理。废矿物油、高盐汽提废水处理系统废催化剂、物化脱水污泥、扩建中水回用单元废超滤膜、废反渗透膜等其他危险废物应委托有资质的单位进行安全妥善处置，危险废物临时贮存地点采取相关措施后应符合《危险废物贮存污染控制标准》（GB18597-2023）的要求；</w:t>
      </w:r>
      <w:r>
        <w:rPr>
          <w:rFonts w:hint="eastAsia" w:ascii="仿宋_GB2312" w:hAnsi="仿宋_GB2312" w:eastAsia="仿宋_GB2312" w:cs="仿宋_GB2312"/>
          <w:sz w:val="32"/>
          <w:szCs w:val="32"/>
          <w:lang w:val="zh-CN"/>
        </w:rPr>
        <w:t>生活垃圾委托环卫部门及时清理外运。</w:t>
      </w:r>
    </w:p>
    <w:p w14:paraId="0DDA322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6.环境风险防范。建立事故废水三级防控体系，设置包括装置区围堰、装置区初期雨水收集池、全厂事故水收集池在内的事故水污染防控系统，建设足够容积的事故应急池</w:t>
      </w:r>
      <w:r>
        <w:rPr>
          <w:rFonts w:hint="eastAsia" w:ascii="仿宋_GB2312" w:hAnsi="宋体" w:eastAsia="仿宋_GB2312" w:cstheme="minorBidi"/>
          <w:snapToGrid/>
          <w:color w:val="auto"/>
          <w:kern w:val="2"/>
          <w:sz w:val="32"/>
          <w:szCs w:val="32"/>
          <w:highlight w:val="none"/>
          <w:lang w:val="en-US" w:eastAsia="zh-CN"/>
        </w:rPr>
        <w:t>，并实现与异氰酸酯地块已建的事故应急池、园区事故应急池互联互通，</w:t>
      </w:r>
      <w:r>
        <w:rPr>
          <w:rFonts w:hint="eastAsia" w:ascii="仿宋_GB2312" w:hAnsi="宋体" w:eastAsia="仿宋_GB2312" w:cstheme="minorBidi"/>
          <w:snapToGrid/>
          <w:kern w:val="2"/>
          <w:sz w:val="32"/>
          <w:szCs w:val="32"/>
          <w:highlight w:val="none"/>
          <w:lang w:val="en-US" w:eastAsia="zh-CN"/>
        </w:rPr>
        <w:t>采取有效措施确保事故水不进入外环境。及时修订《突发环境事件应急预案》，定期开展事故环境风险应急演练。</w:t>
      </w:r>
    </w:p>
    <w:p w14:paraId="247F516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根据《报告书》评价结果，本项目扩建后编组站地块环境防护距离为废水处理单元外50米、中水回用预处理单元外50米、中水回用单元外50米、污泥处理单元外50米和厂界的包络范围。你公司应将此环境防护距离要求报告福清市规划部门、福清市住建部门和江阴港城经济区管委会，在此防护距离范围内不得规划建设居住区、学校、医院等环境保护敏感目标。</w:t>
      </w:r>
    </w:p>
    <w:p w14:paraId="67D2586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7.环境管理。加强企业环境管理能力建设，完善环境管理制度。加强施工期环境保护管理，委托第三方开展施工期环境监理，控制施工期扬尘、污水、噪声等对周边环境的影响。主动发布企业环境保护信息，自觉接受社会监督；按照国家有关规定和监测规范，制定并严格落实施工期和运营期监测计划，对排放的污染物和周边环境进行监测，并按规定向社会公开；加强宣传与沟通工作，建立畅通的公众参与渠道和平台，满足公众合理的环境保护诉求。</w:t>
      </w:r>
    </w:p>
    <w:p w14:paraId="4AA78C3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三、污染物排放标准和主要污染物允许排放控制要求</w:t>
      </w:r>
    </w:p>
    <w:p w14:paraId="1534026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hint="eastAsia" w:ascii="楷体_GB2312" w:hAnsi="楷体_GB2312" w:eastAsia="楷体_GB2312" w:cs="楷体_GB2312"/>
          <w:b/>
          <w:bCs/>
          <w:snapToGrid/>
          <w:kern w:val="2"/>
          <w:sz w:val="32"/>
          <w:szCs w:val="32"/>
          <w:highlight w:val="none"/>
          <w:lang w:val="en-US" w:eastAsia="zh-CN"/>
        </w:rPr>
      </w:pPr>
      <w:r>
        <w:rPr>
          <w:rFonts w:hint="eastAsia" w:ascii="楷体_GB2312" w:hAnsi="楷体_GB2312" w:eastAsia="楷体_GB2312" w:cs="楷体_GB2312"/>
          <w:b/>
          <w:bCs/>
          <w:snapToGrid/>
          <w:kern w:val="2"/>
          <w:sz w:val="32"/>
          <w:szCs w:val="32"/>
          <w:highlight w:val="none"/>
          <w:lang w:val="en-US" w:eastAsia="zh-CN"/>
        </w:rPr>
        <w:t>(一)污染物排放标准</w:t>
      </w:r>
    </w:p>
    <w:p w14:paraId="7A8A4BF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1.废气。</w:t>
      </w:r>
    </w:p>
    <w:p w14:paraId="0BCB46F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宋体" w:eastAsia="仿宋_GB2312" w:cstheme="minorBidi"/>
          <w:snapToGrid/>
          <w:kern w:val="2"/>
          <w:sz w:val="32"/>
          <w:szCs w:val="32"/>
          <w:highlight w:val="none"/>
          <w:lang w:eastAsia="zh-CN"/>
        </w:rPr>
      </w:pPr>
      <w:r>
        <w:rPr>
          <w:rFonts w:hint="default" w:ascii="仿宋_GB2312" w:hAnsi="宋体" w:eastAsia="仿宋_GB2312" w:cstheme="minorBidi"/>
          <w:snapToGrid/>
          <w:kern w:val="2"/>
          <w:sz w:val="32"/>
          <w:szCs w:val="32"/>
          <w:highlight w:val="none"/>
          <w:lang w:eastAsia="zh-CN"/>
        </w:rPr>
        <w:t>（一）</w:t>
      </w:r>
      <w:r>
        <w:rPr>
          <w:rFonts w:hint="eastAsia" w:ascii="仿宋_GB2312" w:hAnsi="宋体" w:eastAsia="仿宋_GB2312" w:cstheme="minorBidi"/>
          <w:snapToGrid/>
          <w:kern w:val="2"/>
          <w:sz w:val="32"/>
          <w:szCs w:val="32"/>
          <w:highlight w:val="none"/>
          <w:lang w:val="en-US" w:eastAsia="zh-CN"/>
        </w:rPr>
        <w:t>编组站地块废气排放标准</w:t>
      </w:r>
      <w:r>
        <w:rPr>
          <w:rFonts w:hint="default" w:ascii="仿宋_GB2312" w:hAnsi="宋体" w:eastAsia="仿宋_GB2312" w:cstheme="minorBidi"/>
          <w:snapToGrid/>
          <w:kern w:val="2"/>
          <w:sz w:val="32"/>
          <w:szCs w:val="32"/>
          <w:highlight w:val="none"/>
          <w:lang w:eastAsia="zh-CN"/>
        </w:rPr>
        <w:t>。</w:t>
      </w:r>
    </w:p>
    <w:p w14:paraId="000EDBB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非甲烷总烃有组织排放参照执行《石油化学工业污染物排放标准》（GB31571-2015（含2024年修改单））表5与《大气污染物综合排放标准》（GB16297-1996）表2的最严值要求，硫化氢、氨、臭气浓度有组织排放执行《恶臭污染物排放标准》（GB14554-93）中的标准限值。</w:t>
      </w:r>
    </w:p>
    <w:p w14:paraId="3CAB1B2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非甲烷总烃无组织排放执行《石油化学工业污染物排放标准》（GB31571-2015（含2024年修改单））表7标准限值、《合成树脂工业污染物排放标准》（GB31572-2015（含2024年修改单））表9与《大气污染物综合排放标准》（GB16297-1996）表2浓度限值的最严值要求；硫化氢、氨、臭气浓度无组织排放执行《恶臭污染物排放标准》（GB14554-93）表2浓度限值；厂区内非甲烷总烃无组织排放执行《挥发性有机物无组织排放控制标准》（GB37822-2019）附录A的表A.1中特别排放限值要求。</w:t>
      </w:r>
    </w:p>
    <w:p w14:paraId="3580E73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（二）异氰酸酯地块废气排放标准。</w:t>
      </w:r>
    </w:p>
    <w:p w14:paraId="3EFACB8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能量回收装置焚烧废气有组织排放执行《危险废物焚烧污染控制标准》（GB18484-2020）表3排放浓度限值与《石油化学工业污染物排放标准》（GB31571-2015（含2024年修改单））表5大气污染物特别排放限值、表6废气中有机特征污染物排放限值、《合成树脂工业污染物排放标准》（GB31572-2015）表5大气污染物特别排放限值（适用的合成树脂类型为聚碳酸酯树脂）和表6焚烧设施SO</w:t>
      </w:r>
      <w:r>
        <w:rPr>
          <w:rFonts w:hint="eastAsia" w:ascii="仿宋_GB2312" w:hAnsi="宋体" w:eastAsia="仿宋_GB2312" w:cstheme="minorBidi"/>
          <w:snapToGrid/>
          <w:kern w:val="2"/>
          <w:sz w:val="32"/>
          <w:szCs w:val="32"/>
          <w:highlight w:val="none"/>
          <w:vertAlign w:val="subscript"/>
          <w:lang w:val="en-US" w:eastAsia="zh-CN"/>
        </w:rPr>
        <w:t>2</w:t>
      </w:r>
      <w:r>
        <w:rPr>
          <w:rFonts w:hint="eastAsia" w:ascii="仿宋_GB2312" w:hAnsi="宋体" w:eastAsia="仿宋_GB2312" w:cstheme="minorBidi"/>
          <w:snapToGrid/>
          <w:kern w:val="2"/>
          <w:sz w:val="32"/>
          <w:szCs w:val="32"/>
          <w:highlight w:val="none"/>
          <w:lang w:val="en-US" w:eastAsia="zh-CN"/>
        </w:rPr>
        <w:t>、NOx和二噁英类排放限值最严限值。</w:t>
      </w:r>
    </w:p>
    <w:p w14:paraId="4A519C4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2.废水。中水回用系统反渗透浓水送至异氰酸酯地块综合废水处理系统废水深处理单元处理达标后依托园区已建排海管道排海，排放执行《石油化学工业污染物排放标准》（GB31571-2015）表1直接排放限值和表3有机特征污染物排放限值、《烧碱、聚氯乙烯工业污染物排放标准》（GB15581-2016）表1直接排放限值、《合成树脂工业污染物排放标准》（GB31572-2015（含2024年修改单））表1直接排放限值（适用的合成树脂类型为聚碳酸酯树脂）以及《城镇污水处理厂污染物排放标准》（GB18918-2002）表1一级A标准、《污水综合排放标准》（GB8978-1996）一级排放标准中的最严限值。</w:t>
      </w:r>
    </w:p>
    <w:p w14:paraId="2ED4371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富硝盐水处理系统尾水经编组站浓水处理单元排放口依托园区已建排海口排放，执行《烧碱、聚氯乙烯工业污染物排放标准》（GB15581-2016）表1直接排放限值、《石油化学工业污染物排放标准》（GB31571-2015（含2024年修改单））表1直接排放限值和表3有机特征污染物排放限值、《硝酸工业污染物排放限值》（GB26131-2010）表2直接排放限值、《合成氨工业水污染物排放标准》（GB13458-2013）中表2直接排放限值以及《城镇污水处理厂污染物排放标准》（GB18918-2002）表1一级A标准、《污水综合排放标准》（GB8978-1996）一级排放标准中的最严限值。</w:t>
      </w:r>
    </w:p>
    <w:p w14:paraId="4A745D7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3.噪声。厂界噪声执行《工业企业厂界环境噪声排放标准》（GB12348-2008）3类标准。施工期噪声执行《建筑施工场界环境噪声排放标准》（GB12523-2011）。</w:t>
      </w:r>
    </w:p>
    <w:p w14:paraId="5558EEBD">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4.固废。一般工业固体废物贮存执行《一般工业固体废物贮存和填埋污染控制标准》(GB18599-2020)要求;危险废物贮存执行《危险废物贮存污染控制标准》(GB18597-2023)要求，转移管理执行《危险废物转移管理办法》(部令第23号)相关规定。</w:t>
      </w:r>
    </w:p>
    <w:p w14:paraId="72BAA7F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3" w:firstLineChars="200"/>
        <w:jc w:val="both"/>
        <w:textAlignment w:val="auto"/>
        <w:rPr>
          <w:rFonts w:hint="eastAsia" w:ascii="楷体_GB2312" w:hAnsi="楷体_GB2312" w:eastAsia="楷体_GB2312" w:cs="楷体_GB2312"/>
          <w:b/>
          <w:bCs/>
          <w:snapToGrid/>
          <w:kern w:val="2"/>
          <w:sz w:val="32"/>
          <w:szCs w:val="32"/>
          <w:highlight w:val="none"/>
          <w:lang w:val="en-US" w:eastAsia="zh-CN"/>
        </w:rPr>
      </w:pPr>
      <w:r>
        <w:rPr>
          <w:rFonts w:hint="eastAsia" w:ascii="楷体_GB2312" w:hAnsi="楷体_GB2312" w:eastAsia="楷体_GB2312" w:cs="楷体_GB2312"/>
          <w:b/>
          <w:bCs/>
          <w:snapToGrid/>
          <w:kern w:val="2"/>
          <w:sz w:val="32"/>
          <w:szCs w:val="32"/>
          <w:highlight w:val="none"/>
          <w:lang w:val="en-US" w:eastAsia="zh-CN"/>
        </w:rPr>
        <w:t>(二)主要污染物排放总量控制要求</w:t>
      </w:r>
    </w:p>
    <w:p w14:paraId="5A2EEC9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default"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本项目新增排放化学需氧量0.10吨/年、氨氮0.01吨/年、挥发性有机物0.0864吨/年。你公司应按照省、市排污权交易相关规定，于项目投产前取得化学需氧量、氨氮排污权指标。</w:t>
      </w:r>
    </w:p>
    <w:p w14:paraId="4835D84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扩建后全厂污染物排放化学需氧量26.40吨/年、氨氮2.64吨/年、二氧化硫29.55吨/年、氮氧化物127.16吨/年、挥发性有机物污染物排放总量88.6464t/a。</w:t>
      </w:r>
    </w:p>
    <w:p w14:paraId="1C79386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四、项目建设应严格执行环境保护“三同时”制度，实施清洁生产。在施工招标文件、施工合同和工程监理招标文件中明确环保条款和责任，建成后应按规定程序实施竣工环境保护验收。</w:t>
      </w:r>
    </w:p>
    <w:p w14:paraId="367880D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五、环境影响报告书经批准后，项目的性质、规模、地点、 工艺或者防治污染、防止生态破坏的措施发生重大变动的，应当重新报批该项目的环境影响报告书。自环境影响报告书批复之日起，如超过5年方决定开工建设的，环境影响报告书应重新审核。</w:t>
      </w:r>
    </w:p>
    <w:p w14:paraId="1AEDC39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我局委托福州市生态环境保护综合执法支队开展该项目环 保“三同时”监督检查，由福州市福清生态环境局负责该项目竣工环保验收后的日常环保监督管理工作。</w:t>
      </w:r>
    </w:p>
    <w:p w14:paraId="6C7A890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p>
    <w:p w14:paraId="6D21DDA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p>
    <w:p w14:paraId="52054F58">
      <w:pPr>
        <w:keepNext w:val="0"/>
        <w:keepLines w:val="0"/>
        <w:pageBreakBefore w:val="0"/>
        <w:widowControl w:val="0"/>
        <w:numPr>
          <w:ilvl w:val="0"/>
          <w:numId w:val="0"/>
        </w:numPr>
        <w:kinsoku/>
        <w:wordWrap w:val="0"/>
        <w:overflowPunct/>
        <w:topLinePunct w:val="0"/>
        <w:autoSpaceDE/>
        <w:autoSpaceDN/>
        <w:bidi w:val="0"/>
        <w:adjustRightInd/>
        <w:snapToGrid/>
        <w:spacing w:beforeAutospacing="0" w:afterAutospacing="0" w:line="560" w:lineRule="exact"/>
        <w:ind w:firstLine="640" w:firstLineChars="200"/>
        <w:jc w:val="right"/>
        <w:textAlignment w:val="auto"/>
        <w:rPr>
          <w:rFonts w:hint="default"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 xml:space="preserve">  福州市生态环境局        </w:t>
      </w:r>
    </w:p>
    <w:p w14:paraId="14EE40E3">
      <w:pPr>
        <w:keepNext w:val="0"/>
        <w:keepLines w:val="0"/>
        <w:pageBreakBefore w:val="0"/>
        <w:widowControl w:val="0"/>
        <w:numPr>
          <w:ilvl w:val="0"/>
          <w:numId w:val="0"/>
        </w:numPr>
        <w:kinsoku/>
        <w:wordWrap w:val="0"/>
        <w:overflowPunct/>
        <w:topLinePunct w:val="0"/>
        <w:autoSpaceDE/>
        <w:autoSpaceDN/>
        <w:bidi w:val="0"/>
        <w:adjustRightInd/>
        <w:snapToGrid/>
        <w:spacing w:beforeAutospacing="0" w:afterAutospacing="0" w:line="560" w:lineRule="exact"/>
        <w:ind w:firstLine="640" w:firstLineChars="200"/>
        <w:jc w:val="right"/>
        <w:textAlignment w:val="auto"/>
        <w:rPr>
          <w:rFonts w:hint="default"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 xml:space="preserve">2025年11月28日        </w:t>
      </w:r>
    </w:p>
    <w:p w14:paraId="73788B0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宋体" w:eastAsia="仿宋_GB2312" w:cstheme="minorBidi"/>
          <w:snapToGrid/>
          <w:kern w:val="2"/>
          <w:sz w:val="32"/>
          <w:szCs w:val="32"/>
          <w:highlight w:val="none"/>
          <w:lang w:val="en-US" w:eastAsia="zh-CN"/>
        </w:rPr>
      </w:pPr>
    </w:p>
    <w:p w14:paraId="5C8474A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宋体" w:eastAsia="仿宋_GB2312" w:cstheme="minorBidi"/>
          <w:snapToGrid/>
          <w:kern w:val="2"/>
          <w:sz w:val="32"/>
          <w:szCs w:val="32"/>
          <w:highlight w:val="none"/>
          <w:lang w:val="en-US" w:eastAsia="zh-CN"/>
        </w:rPr>
      </w:pPr>
    </w:p>
    <w:tbl>
      <w:tblPr>
        <w:tblStyle w:val="7"/>
        <w:tblpPr w:leftFromText="180" w:rightFromText="180" w:vertAnchor="text" w:horzAnchor="page" w:tblpX="1781" w:tblpY="4742"/>
        <w:tblOverlap w:val="never"/>
        <w:tblW w:w="5000" w:type="pct"/>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autofit"/>
        <w:tblCellMar>
          <w:top w:w="0" w:type="dxa"/>
          <w:left w:w="0" w:type="dxa"/>
          <w:bottom w:w="0" w:type="dxa"/>
          <w:right w:w="0" w:type="dxa"/>
        </w:tblCellMar>
      </w:tblPr>
      <w:tblGrid>
        <w:gridCol w:w="1185"/>
        <w:gridCol w:w="4142"/>
        <w:gridCol w:w="3511"/>
      </w:tblGrid>
      <w:tr w14:paraId="2B7D31D1">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046" w:hRule="atLeast"/>
        </w:trPr>
        <w:tc>
          <w:tcPr>
            <w:tcW w:w="670" w:type="pct"/>
            <w:tcBorders>
              <w:top w:val="single" w:color="000000" w:sz="4" w:space="0"/>
              <w:bottom w:val="single" w:color="000000" w:sz="4" w:space="0"/>
            </w:tcBorders>
            <w:vAlign w:val="center"/>
          </w:tcPr>
          <w:p w14:paraId="3BC11C3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jc w:val="center"/>
              <w:textAlignment w:val="auto"/>
              <w:rPr>
                <w:rFonts w:hint="default" w:ascii="仿宋_GB2312" w:hAnsi="宋体" w:eastAsia="仿宋_GB2312" w:cstheme="minorBidi"/>
                <w:snapToGrid/>
                <w:kern w:val="2"/>
                <w:sz w:val="32"/>
                <w:szCs w:val="32"/>
                <w:highlight w:val="none"/>
                <w:lang w:val="en-US" w:eastAsia="zh-CN"/>
              </w:rPr>
            </w:pPr>
            <w:r>
              <w:rPr>
                <w:rFonts w:hint="eastAsia" w:ascii="仿宋_GB2312" w:hAnsi="宋体" w:eastAsia="仿宋_GB2312" w:cstheme="minorBidi"/>
                <w:snapToGrid/>
                <w:kern w:val="2"/>
                <w:sz w:val="32"/>
                <w:szCs w:val="32"/>
                <w:highlight w:val="none"/>
                <w:lang w:val="en-US" w:eastAsia="zh-CN"/>
              </w:rPr>
              <w:t>抄送：</w:t>
            </w:r>
          </w:p>
        </w:tc>
        <w:tc>
          <w:tcPr>
            <w:tcW w:w="4329" w:type="pct"/>
            <w:gridSpan w:val="2"/>
            <w:tcBorders>
              <w:top w:val="single" w:color="000000" w:sz="4" w:space="0"/>
              <w:bottom w:val="single" w:color="000000" w:sz="4" w:space="0"/>
            </w:tcBorders>
            <w:vAlign w:val="top"/>
          </w:tcPr>
          <w:p w14:paraId="6FF6B67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jc w:val="both"/>
              <w:textAlignment w:val="auto"/>
              <w:rPr>
                <w:rFonts w:ascii="宋体" w:hAnsi="宋体" w:eastAsia="宋体" w:cs="宋体"/>
                <w:sz w:val="28"/>
                <w:szCs w:val="28"/>
              </w:rPr>
            </w:pPr>
            <w:r>
              <w:rPr>
                <w:rFonts w:hint="eastAsia" w:ascii="仿宋_GB2312" w:hAnsi="宋体" w:eastAsia="仿宋_GB2312" w:cstheme="minorBidi"/>
                <w:snapToGrid/>
                <w:kern w:val="2"/>
                <w:sz w:val="32"/>
                <w:szCs w:val="32"/>
                <w:highlight w:val="none"/>
                <w:lang w:val="en-US" w:eastAsia="zh-CN"/>
              </w:rPr>
              <w:t>福州市生态环境局大气处、土壤处、海洋处，福州市生态环境保护综合执法支队，福州江阴港城经济区管理委员会，福州市福清生态环境局，福清市工业和信息化局，福州市环境影响评价技术中心，福建省金皇环保科技有限公司</w:t>
            </w:r>
          </w:p>
        </w:tc>
      </w:tr>
      <w:tr w14:paraId="4DE93E58">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83" w:hRule="atLeast"/>
        </w:trPr>
        <w:tc>
          <w:tcPr>
            <w:tcW w:w="3013" w:type="pct"/>
            <w:gridSpan w:val="2"/>
            <w:tcBorders>
              <w:top w:val="single" w:color="000000" w:sz="4" w:space="0"/>
              <w:bottom w:val="single" w:color="000000" w:sz="4" w:space="0"/>
            </w:tcBorders>
            <w:vAlign w:val="top"/>
          </w:tcPr>
          <w:p w14:paraId="2753364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jc w:val="both"/>
              <w:textAlignment w:val="auto"/>
              <w:rPr>
                <w:rFonts w:ascii="宋体" w:hAnsi="宋体" w:eastAsia="宋体" w:cs="宋体"/>
                <w:sz w:val="28"/>
                <w:szCs w:val="28"/>
              </w:rPr>
            </w:pPr>
            <w:r>
              <w:rPr>
                <w:rFonts w:hint="eastAsia" w:ascii="仿宋_GB2312" w:hAnsi="宋体" w:eastAsia="仿宋_GB2312" w:cstheme="minorBidi"/>
                <w:snapToGrid/>
                <w:kern w:val="2"/>
                <w:sz w:val="32"/>
                <w:szCs w:val="32"/>
                <w:highlight w:val="none"/>
                <w:lang w:val="en-US" w:eastAsia="zh-CN"/>
              </w:rPr>
              <w:t>福州市生态环境局</w:t>
            </w:r>
          </w:p>
        </w:tc>
        <w:tc>
          <w:tcPr>
            <w:tcW w:w="1986" w:type="pct"/>
            <w:tcBorders>
              <w:top w:val="single" w:color="000000" w:sz="4" w:space="0"/>
              <w:bottom w:val="single" w:color="000000" w:sz="4" w:space="0"/>
            </w:tcBorders>
            <w:vAlign w:val="top"/>
          </w:tcPr>
          <w:p w14:paraId="43DE535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jc w:val="both"/>
              <w:textAlignment w:val="auto"/>
              <w:rPr>
                <w:rFonts w:ascii="宋体" w:hAnsi="宋体" w:eastAsia="宋体" w:cs="宋体"/>
                <w:sz w:val="28"/>
                <w:szCs w:val="28"/>
              </w:rPr>
            </w:pPr>
            <w:r>
              <w:rPr>
                <w:rFonts w:hint="eastAsia" w:ascii="仿宋_GB2312" w:hAnsi="宋体" w:eastAsia="仿宋_GB2312" w:cstheme="minorBidi"/>
                <w:snapToGrid/>
                <w:kern w:val="2"/>
                <w:sz w:val="32"/>
                <w:szCs w:val="32"/>
                <w:highlight w:val="none"/>
                <w:lang w:val="en-US" w:eastAsia="zh-CN"/>
              </w:rPr>
              <w:t>2025年11月28日印发</w:t>
            </w:r>
          </w:p>
        </w:tc>
      </w:tr>
    </w:tbl>
    <w:p w14:paraId="2728111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宋体" w:eastAsia="仿宋_GB2312" w:cstheme="minorBidi"/>
          <w:snapToGrid/>
          <w:kern w:val="2"/>
          <w:sz w:val="32"/>
          <w:szCs w:val="32"/>
          <w:highlight w:val="none"/>
          <w:lang w:val="en-US" w:eastAsia="zh-CN"/>
        </w:rPr>
      </w:pPr>
    </w:p>
    <w:p w14:paraId="44DF6F98">
      <w:pPr>
        <w:ind w:firstLine="420" w:firstLineChars="200"/>
        <w:rPr>
          <w:rFonts w:ascii="Arial"/>
          <w:sz w:val="21"/>
        </w:rPr>
      </w:pPr>
      <w:bookmarkStart w:id="0" w:name="_GoBack"/>
      <w:bookmarkEnd w:id="0"/>
    </w:p>
    <w:sectPr>
      <w:headerReference r:id="rId5" w:type="default"/>
      <w:footerReference r:id="rId6" w:type="default"/>
      <w:pgSz w:w="11900" w:h="16820"/>
      <w:pgMar w:top="1587" w:right="1531" w:bottom="1587" w:left="153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73EC9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D1CA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ODA1MzRjZGRjYmU2OGUyMzZjNTlhMTMzYTQ5NTdmY2QifQ=="/>
  </w:docVars>
  <w:rsids>
    <w:rsidRoot w:val="00000000"/>
    <w:rsid w:val="009E7D0A"/>
    <w:rsid w:val="0151050E"/>
    <w:rsid w:val="04637CA3"/>
    <w:rsid w:val="08C57C66"/>
    <w:rsid w:val="0D377CC9"/>
    <w:rsid w:val="11D65607"/>
    <w:rsid w:val="11E0714B"/>
    <w:rsid w:val="13CA362C"/>
    <w:rsid w:val="18474B94"/>
    <w:rsid w:val="1A3934BC"/>
    <w:rsid w:val="1E837D5A"/>
    <w:rsid w:val="1F534865"/>
    <w:rsid w:val="239C4E67"/>
    <w:rsid w:val="28A10925"/>
    <w:rsid w:val="2ACB6489"/>
    <w:rsid w:val="2C267E1B"/>
    <w:rsid w:val="2C5B5962"/>
    <w:rsid w:val="2FAA7207"/>
    <w:rsid w:val="31D939CA"/>
    <w:rsid w:val="32152D99"/>
    <w:rsid w:val="336B3102"/>
    <w:rsid w:val="3A233BD3"/>
    <w:rsid w:val="3B8C57C0"/>
    <w:rsid w:val="3EB72F87"/>
    <w:rsid w:val="412B3F0D"/>
    <w:rsid w:val="462C207A"/>
    <w:rsid w:val="482B381D"/>
    <w:rsid w:val="4FAC0881"/>
    <w:rsid w:val="50FE6D40"/>
    <w:rsid w:val="51712304"/>
    <w:rsid w:val="53FB53C7"/>
    <w:rsid w:val="549F3BB6"/>
    <w:rsid w:val="58F32023"/>
    <w:rsid w:val="60154ADB"/>
    <w:rsid w:val="7C7378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1"/>
      <w:szCs w:val="31"/>
      <w:lang w:val="en-US" w:eastAsia="en-US" w:bidi="ar-SA"/>
    </w:rPr>
  </w:style>
  <w:style w:type="paragraph" w:styleId="4">
    <w:name w:val="Plain Text"/>
    <w:basedOn w:val="1"/>
    <w:unhideWhenUsed/>
    <w:qFormat/>
    <w:uiPriority w:val="99"/>
    <w:rPr>
      <w:rFonts w:ascii="宋体" w:hAnsi="Courier New" w:eastAsia="宋体" w:cs="Courier New"/>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3908</Words>
  <Characters>4384</Characters>
  <TotalTime>167</TotalTime>
  <ScaleCrop>false</ScaleCrop>
  <LinksUpToDate>false</LinksUpToDate>
  <CharactersWithSpaces>4410</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2025-10-29T10:06:00Z</dcterms:created>
  <dc:creator>yjzx1</dc:creator>
  <cp:lastModifiedBy>月见函灯</cp:lastModifiedBy>
  <dcterms:modified xsi:type="dcterms:W3CDTF">2025-11-28T03:08:51Z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2025-10-29T10:06:19Z</vt:filetime>
  </property>
  <property fmtid="{D5CDD505-2E9C-101B-9397-08002B2CF9AE}" pid="4" name="UsrData">
    <vt:lpwstr>690176976c2928001f0eb7e2wl</vt:lpwstr>
  </property>
  <property fmtid="{D5CDD505-2E9C-101B-9397-08002B2CF9AE}" pid="5" name="KSOTemplateDocerSaveRecord">
    <vt:lpwstr>eyJoZGlkIjoiMDkxNDM5NTI3YTI2MzU0NTA3MzliODM2N2FlYTc2NjYiLCJ1c2VySWQiOiI0MjM3NjMwNzUifQ==</vt:lpwstr>
  </property>
  <property fmtid="{D5CDD505-2E9C-101B-9397-08002B2CF9AE}" pid="6" name="KSOProductBuildVer">
    <vt:lpwstr>2052-12.1.0.23542</vt:lpwstr>
  </property>
  <property fmtid="{D5CDD505-2E9C-101B-9397-08002B2CF9AE}" pid="7" name="ICV">
    <vt:lpwstr>78DFDF0C166D42BFA7EE56219BE2106D_13</vt:lpwstr>
  </property>
</Properties>
</file>