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line="600" w:lineRule="exact"/>
        <w:jc w:val="center"/>
        <w:textAlignment w:val="center"/>
        <w:rPr>
          <w:rFonts w:hint="eastAsia" w:ascii="方正小标宋简体" w:hAnsi="方正小标宋简体" w:eastAsia="方正小标宋简体" w:cs="方正小标宋简体"/>
          <w:color w:val="auto"/>
          <w:kern w:val="0"/>
          <w:sz w:val="44"/>
          <w:szCs w:val="44"/>
        </w:rPr>
      </w:pPr>
      <w:bookmarkStart w:id="0" w:name="_GoBack"/>
      <w:bookmarkEnd w:id="0"/>
    </w:p>
    <w:p>
      <w:pPr>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附件2</w:t>
      </w:r>
    </w:p>
    <w:p>
      <w:pPr>
        <w:widowControl w:val="0"/>
        <w:adjustRightInd w:val="0"/>
        <w:snapToGrid w:val="0"/>
        <w:spacing w:line="600" w:lineRule="exact"/>
        <w:jc w:val="center"/>
        <w:textAlignment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技术要求和商务要求</w:t>
      </w:r>
    </w:p>
    <w:tbl>
      <w:tblPr>
        <w:tblStyle w:val="9"/>
        <w:tblW w:w="83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85"/>
        <w:gridCol w:w="6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6" w:type="dxa"/>
            <w:vAlign w:val="center"/>
          </w:tcPr>
          <w:p>
            <w:pPr>
              <w:snapToGrid w:val="0"/>
              <w:spacing w:line="600" w:lineRule="exact"/>
              <w:jc w:val="center"/>
              <w:rPr>
                <w:rFonts w:hint="eastAsia"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包号</w:t>
            </w:r>
          </w:p>
        </w:tc>
        <w:tc>
          <w:tcPr>
            <w:tcW w:w="1285" w:type="dxa"/>
            <w:vAlign w:val="center"/>
          </w:tcPr>
          <w:p>
            <w:pPr>
              <w:snapToGrid w:val="0"/>
              <w:spacing w:line="240" w:lineRule="auto"/>
              <w:jc w:val="center"/>
              <w:rPr>
                <w:rFonts w:hint="default"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技术商务要求</w:t>
            </w:r>
          </w:p>
        </w:tc>
        <w:tc>
          <w:tcPr>
            <w:tcW w:w="6366" w:type="dxa"/>
            <w:vAlign w:val="center"/>
          </w:tcPr>
          <w:p>
            <w:pPr>
              <w:jc w:val="center"/>
              <w:rPr>
                <w:rFonts w:hint="default" w:eastAsia="宋体"/>
                <w:vertAlign w:val="baseline"/>
                <w:lang w:val="en-US" w:eastAsia="zh-CN"/>
              </w:rPr>
            </w:pPr>
            <w:r>
              <w:rPr>
                <w:rFonts w:hint="eastAsia" w:ascii="黑体" w:hAnsi="黑体" w:eastAsia="黑体" w:cs="黑体"/>
                <w:b w:val="0"/>
                <w:bCs/>
                <w:color w:val="auto"/>
                <w:sz w:val="24"/>
                <w:szCs w:val="24"/>
                <w:lang w:val="en-US" w:eastAsia="zh-CN"/>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6" w:type="dxa"/>
            <w:vMerge w:val="restart"/>
            <w:vAlign w:val="center"/>
          </w:tcPr>
          <w:p>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包1</w:t>
            </w:r>
          </w:p>
        </w:tc>
        <w:tc>
          <w:tcPr>
            <w:tcW w:w="1285" w:type="dxa"/>
            <w:vAlign w:val="center"/>
          </w:tcPr>
          <w:p>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技术要求</w:t>
            </w:r>
          </w:p>
        </w:tc>
        <w:tc>
          <w:tcPr>
            <w:tcW w:w="6366"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根据工作需要，现对存放于市应急综合保障基地一批达到报废年限、损坏无法修复的应急物资进行公开竞价处置，具体内容如下：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一、处置标的物概况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本次报废物资共计12类147028件（台）报废物资（资产原值1714309元），主要包括：挖掘机、装载机、冲锋舟、橡皮艇、汽油便携抽水泵、潜水泵强光手电、手提式防爆探照灯、麻袋、编织袋、吸水膨胀袋、救生衣等，具体物资种类和数量见附表。部分报废物资涉及机动车拆解等特殊要求，供应商须具备相应资质和能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物资状态：本次报废的物资均存在不同程度的老化、过期、损坏或技术淘汰，不具备原有使用功能，不可再用于应急救援。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二、核废估价</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1、现场踏勘：市应急局于2025年</w:t>
            </w:r>
            <w:r>
              <w:rPr>
                <w:rFonts w:hint="eastAsia" w:ascii="仿宋_GB2312" w:hAnsi="仿宋_GB2312" w:eastAsia="仿宋_GB2312" w:cs="仿宋_GB2312"/>
                <w:sz w:val="24"/>
                <w:highlight w:val="none"/>
                <w:lang w:val="en-US" w:eastAsia="zh-CN"/>
              </w:rPr>
              <w:t>8月11日</w:t>
            </w:r>
            <w:r>
              <w:rPr>
                <w:rFonts w:hint="eastAsia" w:ascii="仿宋_GB2312" w:hAnsi="仿宋_GB2312" w:eastAsia="仿宋_GB2312" w:cs="仿宋_GB2312"/>
                <w:sz w:val="24"/>
                <w:lang w:val="en-US" w:eastAsia="zh-CN"/>
              </w:rPr>
              <w:t>上午9：30，在闽侯县上街镇工贸路16号福州市应急综合保障基地组织各潜在供应商现场核查报废物资，以便供应商更准确评估物资状况和残值。联系人：张先生，13600821102。</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2、价值确定及报价：各供应商结合现场踏勘的结果，根据物资原值、品类、材质、重量、当前市场回收价格行情、处理成本等内容对物资进行估价，并按公告要求提交报价文件。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三、重要声明</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1、本次处置的物资明确为报废物资，成交供应商不得将其翻新后作为正常商品再次流入市场（特别是应急救援市场），必须严格按照投标承诺和国家规定进行拆解、回收利用或环保销毁。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2、成交供应商在物资清运、运输、储存、处理过程中发生一切费用和安全、环保责任，均由其自行承担。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3、我单位保留根据实际情况调整处置物资范围、终止本次处置活动以及在无合格投标人或有效报价时另行处置的权利。</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6" w:type="dxa"/>
            <w:vMerge w:val="continue"/>
            <w:vAlign w:val="center"/>
          </w:tcPr>
          <w:p>
            <w:pPr>
              <w:spacing w:line="600" w:lineRule="exact"/>
              <w:jc w:val="left"/>
              <w:rPr>
                <w:rFonts w:hint="eastAsia" w:ascii="仿宋_GB2312" w:hAnsi="仿宋_GB2312" w:eastAsia="仿宋_GB2312" w:cs="仿宋_GB2312"/>
                <w:color w:val="auto"/>
                <w:sz w:val="24"/>
                <w:szCs w:val="24"/>
              </w:rPr>
            </w:pPr>
          </w:p>
        </w:tc>
        <w:tc>
          <w:tcPr>
            <w:tcW w:w="1285" w:type="dxa"/>
            <w:vAlign w:val="center"/>
          </w:tcPr>
          <w:p>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商务要求</w:t>
            </w:r>
          </w:p>
        </w:tc>
        <w:tc>
          <w:tcPr>
            <w:tcW w:w="6366" w:type="dxa"/>
          </w:tcPr>
          <w:p>
            <w:pPr>
              <w:spacing w:line="600" w:lineRule="exact"/>
              <w:jc w:val="left"/>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1.回收处置时间:自合同签订之日起30</w:t>
            </w:r>
            <w:r>
              <w:rPr>
                <w:rFonts w:hint="eastAsia" w:ascii="仿宋_GB2312" w:hAnsi="仿宋_GB2312" w:eastAsia="仿宋_GB2312" w:cs="仿宋_GB2312"/>
                <w:color w:val="auto"/>
                <w:sz w:val="24"/>
                <w:szCs w:val="24"/>
                <w:highlight w:val="none"/>
                <w:lang w:val="en-US" w:eastAsia="zh-CN"/>
              </w:rPr>
              <w:t>日内，成交供应商应完成报废物资清运。</w:t>
            </w:r>
          </w:p>
          <w:p>
            <w:pPr>
              <w:spacing w:line="600" w:lineRule="exact"/>
              <w:jc w:val="left"/>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2.交接地点：福州市应急综合保障基地。</w:t>
            </w:r>
          </w:p>
          <w:p>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3.交接条件:完成报废物资现场清运并签署交接单。</w:t>
            </w:r>
          </w:p>
          <w:p>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4.合同支付方式:所有报废物资完成现场清运起30日内，成交供应商依据甲方提供的账户信息支付合同总金额的100.00%。</w:t>
            </w:r>
          </w:p>
        </w:tc>
      </w:tr>
    </w:tbl>
    <w:p>
      <w:pPr>
        <w:sectPr>
          <w:footerReference r:id="rId3" w:type="default"/>
          <w:pgSz w:w="11906" w:h="16838"/>
          <w:pgMar w:top="1440" w:right="1800" w:bottom="1440" w:left="1800" w:header="851" w:footer="992" w:gutter="0"/>
          <w:pgNumType w:fmt="decimal"/>
          <w:cols w:space="425" w:num="1"/>
          <w:docGrid w:type="lines" w:linePitch="312" w:charSpace="0"/>
        </w:sectPr>
      </w:pPr>
    </w:p>
    <w:tbl>
      <w:tblPr>
        <w:tblStyle w:val="8"/>
        <w:tblpPr w:leftFromText="180" w:rightFromText="180" w:vertAnchor="text" w:horzAnchor="page" w:tblpXSpec="center" w:tblpY="637"/>
        <w:tblOverlap w:val="never"/>
        <w:tblW w:w="1417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3"/>
        <w:gridCol w:w="1539"/>
        <w:gridCol w:w="544"/>
        <w:gridCol w:w="629"/>
        <w:gridCol w:w="711"/>
        <w:gridCol w:w="1155"/>
        <w:gridCol w:w="1305"/>
        <w:gridCol w:w="1284"/>
        <w:gridCol w:w="1848"/>
        <w:gridCol w:w="1845"/>
        <w:gridCol w:w="2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jc w:val="center"/>
        </w:trPr>
        <w:tc>
          <w:tcPr>
            <w:tcW w:w="14173" w:type="dxa"/>
            <w:gridSpan w:val="11"/>
            <w:tcBorders>
              <w:top w:val="nil"/>
              <w:left w:val="nil"/>
              <w:bottom w:val="nil"/>
              <w:right w:val="nil"/>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bCs/>
                <w:i w:val="0"/>
                <w:iCs w:val="0"/>
                <w:color w:val="000000"/>
                <w:kern w:val="0"/>
                <w:sz w:val="28"/>
                <w:szCs w:val="28"/>
                <w:u w:val="none"/>
                <w:lang w:val="en-US" w:eastAsia="zh-CN" w:bidi="ar"/>
              </w:rPr>
              <w:t>市应急综合保障基地报废物资明细表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15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物资名称</w:t>
            </w:r>
          </w:p>
        </w:tc>
        <w:tc>
          <w:tcPr>
            <w:tcW w:w="54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单位</w:t>
            </w:r>
          </w:p>
        </w:tc>
        <w:tc>
          <w:tcPr>
            <w:tcW w:w="134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报废数量</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单价</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（元）</w:t>
            </w:r>
          </w:p>
        </w:tc>
        <w:tc>
          <w:tcPr>
            <w:tcW w:w="130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总价</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（元）</w:t>
            </w:r>
          </w:p>
        </w:tc>
        <w:tc>
          <w:tcPr>
            <w:tcW w:w="128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规格</w:t>
            </w:r>
          </w:p>
        </w:tc>
        <w:tc>
          <w:tcPr>
            <w:tcW w:w="184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品牌</w:t>
            </w:r>
          </w:p>
        </w:tc>
        <w:tc>
          <w:tcPr>
            <w:tcW w:w="184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进仓时间</w:t>
            </w:r>
          </w:p>
        </w:tc>
        <w:tc>
          <w:tcPr>
            <w:tcW w:w="277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数量</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合计</w:t>
            </w: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3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2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27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1539"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冲锋舟</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17</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4800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19200</w:t>
            </w:r>
          </w:p>
        </w:tc>
        <w:tc>
          <w:tcPr>
            <w:tcW w:w="128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6.13米</w:t>
            </w:r>
          </w:p>
        </w:tc>
        <w:tc>
          <w:tcPr>
            <w:tcW w:w="184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秦皇岛</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2000年10月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w:t>
            </w:r>
          </w:p>
        </w:tc>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4800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24000</w:t>
            </w:r>
          </w:p>
        </w:tc>
        <w:tc>
          <w:tcPr>
            <w:tcW w:w="12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2003年5月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4800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19200</w:t>
            </w:r>
          </w:p>
        </w:tc>
        <w:tc>
          <w:tcPr>
            <w:tcW w:w="12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2006年4月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8"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3000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12000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3.98米</w:t>
            </w: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2006年4月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w:t>
            </w:r>
          </w:p>
        </w:tc>
        <w:tc>
          <w:tcPr>
            <w:tcW w:w="1539"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橡皮舟</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w:t>
            </w:r>
          </w:p>
        </w:tc>
        <w:tc>
          <w:tcPr>
            <w:tcW w:w="711" w:type="dxa"/>
            <w:vMerge w:val="restart"/>
            <w:tcBorders>
              <w:top w:val="nil"/>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36400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CND430A</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卡尔维森</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2021年11月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台风影响使用频繁造成漏气无法使用需报损处理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艘</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711" w:type="dxa"/>
            <w:vMerge w:val="continue"/>
            <w:tcBorders>
              <w:top w:val="nil"/>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8160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32640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SC4200A、SC4200</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华宇</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2019年12月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台风影响使用频繁造成损坏漏气无法使用需报损处理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w:t>
            </w:r>
          </w:p>
        </w:tc>
        <w:tc>
          <w:tcPr>
            <w:tcW w:w="15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汽油便携抽水泵</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WP-40（DN100）</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（汇精）汽油机水泵</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2018年7月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1539"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潜水泵</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1500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1500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（DN100)WQ65-15-5.5</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（上海澳光）污水污物潜水泵</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2006年8月</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8560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8560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（DN150）WQ150-15-15</w:t>
            </w:r>
          </w:p>
        </w:tc>
        <w:tc>
          <w:tcPr>
            <w:tcW w:w="184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（上海申一）WQ型潜水泵</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2006年8月进仓</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9720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9720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（DN150）WQ200-14-18.5</w:t>
            </w: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2006年8月进仓</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10860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10860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（DN200）WQ250-15-18.5</w:t>
            </w: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2006年8月进仓</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11280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11280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（DN200）WQ300-15-22</w:t>
            </w: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2006年8月进仓</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w:t>
            </w:r>
          </w:p>
        </w:tc>
        <w:tc>
          <w:tcPr>
            <w:tcW w:w="15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手提式防爆探照灯</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把</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90</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90</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210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18900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BJQ5130B</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晶全牌</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2018年7月进仓</w:t>
            </w:r>
          </w:p>
        </w:tc>
        <w:tc>
          <w:tcPr>
            <w:tcW w:w="27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已超6年性能衰退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6</w:t>
            </w:r>
          </w:p>
        </w:tc>
        <w:tc>
          <w:tcPr>
            <w:tcW w:w="1539"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强光手电</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把</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65</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130</w:t>
            </w:r>
          </w:p>
        </w:tc>
        <w:tc>
          <w:tcPr>
            <w:tcW w:w="1284"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HSG1220</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黄石市</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2021年11月30日</w:t>
            </w:r>
          </w:p>
        </w:tc>
        <w:tc>
          <w:tcPr>
            <w:tcW w:w="2770"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台风影响使用频繁造成</w:t>
            </w:r>
            <w:r>
              <w:rPr>
                <w:rFonts w:hint="eastAsia" w:ascii="宋体" w:hAnsi="宋体" w:cs="宋体"/>
                <w:b w:val="0"/>
                <w:bCs w:val="0"/>
                <w:i w:val="0"/>
                <w:iCs w:val="0"/>
                <w:color w:val="000000"/>
                <w:kern w:val="0"/>
                <w:sz w:val="24"/>
                <w:szCs w:val="24"/>
                <w:u w:val="none"/>
                <w:lang w:val="en-US" w:eastAsia="zh-CN" w:bidi="ar"/>
              </w:rPr>
              <w:t>损坏</w:t>
            </w:r>
            <w:r>
              <w:rPr>
                <w:rFonts w:hint="eastAsia" w:ascii="宋体" w:hAnsi="宋体" w:eastAsia="宋体" w:cs="宋体"/>
                <w:b w:val="0"/>
                <w:bCs w:val="0"/>
                <w:i w:val="0"/>
                <w:iCs w:val="0"/>
                <w:color w:val="000000"/>
                <w:kern w:val="0"/>
                <w:sz w:val="24"/>
                <w:szCs w:val="24"/>
                <w:u w:val="none"/>
                <w:lang w:val="en-US" w:eastAsia="zh-CN" w:bidi="ar"/>
              </w:rPr>
              <w:t>已无法维修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w:t>
            </w:r>
          </w:p>
        </w:tc>
        <w:tc>
          <w:tcPr>
            <w:tcW w:w="1539"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麻袋</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条</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29900</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29900</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4.81</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143819</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88*55</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江阴</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2006年5月</w:t>
            </w:r>
          </w:p>
        </w:tc>
        <w:tc>
          <w:tcPr>
            <w:tcW w:w="2770"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nil"/>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w:t>
            </w:r>
          </w:p>
        </w:tc>
        <w:tc>
          <w:tcPr>
            <w:tcW w:w="1539" w:type="dxa"/>
            <w:vMerge w:val="restart"/>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编织袋</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条</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50000</w:t>
            </w:r>
          </w:p>
        </w:tc>
        <w:tc>
          <w:tcPr>
            <w:tcW w:w="711"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110000</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1.4</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70000</w:t>
            </w:r>
          </w:p>
        </w:tc>
        <w:tc>
          <w:tcPr>
            <w:tcW w:w="128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85*50</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佛山鸿运</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2015年11月</w:t>
            </w:r>
          </w:p>
        </w:tc>
        <w:tc>
          <w:tcPr>
            <w:tcW w:w="277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nil"/>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条</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30000</w:t>
            </w:r>
          </w:p>
        </w:tc>
        <w:tc>
          <w:tcPr>
            <w:tcW w:w="711"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1.3</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39000</w:t>
            </w:r>
          </w:p>
        </w:tc>
        <w:tc>
          <w:tcPr>
            <w:tcW w:w="12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2018年7月</w:t>
            </w:r>
          </w:p>
        </w:tc>
        <w:tc>
          <w:tcPr>
            <w:tcW w:w="27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nil"/>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nil"/>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条</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30000</w:t>
            </w:r>
          </w:p>
        </w:tc>
        <w:tc>
          <w:tcPr>
            <w:tcW w:w="711"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1.6</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48000</w:t>
            </w:r>
          </w:p>
        </w:tc>
        <w:tc>
          <w:tcPr>
            <w:tcW w:w="12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2018年11月</w:t>
            </w:r>
          </w:p>
        </w:tc>
        <w:tc>
          <w:tcPr>
            <w:tcW w:w="27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w:t>
            </w:r>
          </w:p>
        </w:tc>
        <w:tc>
          <w:tcPr>
            <w:tcW w:w="15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吸水膨胀袋</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个</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5000</w:t>
            </w:r>
          </w:p>
        </w:tc>
        <w:tc>
          <w:tcPr>
            <w:tcW w:w="71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5000</w:t>
            </w:r>
          </w:p>
        </w:tc>
        <w:tc>
          <w:tcPr>
            <w:tcW w:w="115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18</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90000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600（长）*400（宽）</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佛山鸿运江天</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2015年11月进仓</w:t>
            </w:r>
          </w:p>
        </w:tc>
        <w:tc>
          <w:tcPr>
            <w:tcW w:w="2770"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w:t>
            </w:r>
          </w:p>
        </w:tc>
        <w:tc>
          <w:tcPr>
            <w:tcW w:w="15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救生衣</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件</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1000</w:t>
            </w:r>
          </w:p>
        </w:tc>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2000</w:t>
            </w:r>
          </w:p>
        </w:tc>
        <w:tc>
          <w:tcPr>
            <w:tcW w:w="1155"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27</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27000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WYC86-5</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兴泰</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2018年7月</w:t>
            </w:r>
          </w:p>
        </w:tc>
        <w:tc>
          <w:tcPr>
            <w:tcW w:w="2770"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jc w:val="center"/>
        </w:trPr>
        <w:tc>
          <w:tcPr>
            <w:tcW w:w="54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53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件</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1000</w:t>
            </w:r>
          </w:p>
        </w:tc>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155" w:type="dxa"/>
            <w:tcBorders>
              <w:top w:val="single" w:color="000000" w:sz="4" w:space="0"/>
              <w:left w:val="single" w:color="000000" w:sz="4" w:space="0"/>
              <w:bottom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42</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42000</w:t>
            </w:r>
          </w:p>
        </w:tc>
        <w:tc>
          <w:tcPr>
            <w:tcW w:w="128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WYC86-5</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江洋</w:t>
            </w:r>
          </w:p>
        </w:tc>
        <w:tc>
          <w:tcPr>
            <w:tcW w:w="1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2018年11月</w:t>
            </w:r>
          </w:p>
        </w:tc>
        <w:tc>
          <w:tcPr>
            <w:tcW w:w="2770"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己过有效储备年期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w:t>
            </w:r>
          </w:p>
        </w:tc>
        <w:tc>
          <w:tcPr>
            <w:tcW w:w="15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挖掘机</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760000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760000</w:t>
            </w:r>
          </w:p>
        </w:tc>
        <w:tc>
          <w:tcPr>
            <w:tcW w:w="12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大宇</w:t>
            </w:r>
          </w:p>
        </w:tc>
        <w:tc>
          <w:tcPr>
            <w:tcW w:w="184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val="0"/>
                <w:bCs w:val="0"/>
                <w:i w:val="0"/>
                <w:iCs w:val="0"/>
                <w:color w:val="000000"/>
                <w:sz w:val="24"/>
                <w:szCs w:val="24"/>
                <w:u w:val="none"/>
                <w:lang w:val="en-US" w:eastAsia="zh-CN"/>
              </w:rPr>
            </w:pPr>
            <w:r>
              <w:rPr>
                <w:rFonts w:hint="eastAsia" w:ascii="宋体" w:hAnsi="宋体" w:cs="宋体"/>
                <w:b w:val="0"/>
                <w:bCs w:val="0"/>
                <w:i w:val="0"/>
                <w:iCs w:val="0"/>
                <w:color w:val="000000"/>
                <w:sz w:val="24"/>
                <w:szCs w:val="24"/>
                <w:u w:val="none"/>
                <w:lang w:val="en-US" w:eastAsia="zh-CN"/>
              </w:rPr>
              <w:t>2000年10月</w:t>
            </w:r>
          </w:p>
        </w:tc>
        <w:tc>
          <w:tcPr>
            <w:tcW w:w="27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12</w:t>
            </w:r>
          </w:p>
        </w:tc>
        <w:tc>
          <w:tcPr>
            <w:tcW w:w="15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装载机</w:t>
            </w:r>
          </w:p>
        </w:tc>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台</w:t>
            </w:r>
          </w:p>
        </w:tc>
        <w:tc>
          <w:tcPr>
            <w:tcW w:w="62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289000</w:t>
            </w:r>
          </w:p>
        </w:tc>
        <w:tc>
          <w:tcPr>
            <w:tcW w:w="13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289000</w:t>
            </w:r>
          </w:p>
        </w:tc>
        <w:tc>
          <w:tcPr>
            <w:tcW w:w="12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厦工</w:t>
            </w:r>
          </w:p>
        </w:tc>
        <w:tc>
          <w:tcPr>
            <w:tcW w:w="184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val="0"/>
                <w:bCs w:val="0"/>
                <w:i w:val="0"/>
                <w:iCs w:val="0"/>
                <w:color w:val="000000"/>
                <w:sz w:val="24"/>
                <w:szCs w:val="24"/>
                <w:u w:val="none"/>
                <w:lang w:val="en-US" w:eastAsia="zh-CN"/>
              </w:rPr>
            </w:pPr>
            <w:r>
              <w:rPr>
                <w:rFonts w:hint="eastAsia" w:ascii="宋体" w:hAnsi="宋体" w:cs="宋体"/>
                <w:b w:val="0"/>
                <w:bCs w:val="0"/>
                <w:i w:val="0"/>
                <w:iCs w:val="0"/>
                <w:color w:val="000000"/>
                <w:sz w:val="24"/>
                <w:szCs w:val="24"/>
                <w:u w:val="none"/>
                <w:lang w:val="en-US" w:eastAsia="zh-CN"/>
              </w:rPr>
              <w:t>2000年10月</w:t>
            </w:r>
          </w:p>
        </w:tc>
        <w:tc>
          <w:tcPr>
            <w:tcW w:w="27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13</w:t>
            </w:r>
          </w:p>
        </w:tc>
        <w:tc>
          <w:tcPr>
            <w:tcW w:w="13630" w:type="dxa"/>
            <w:gridSpan w:val="10"/>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合计金额：1714309元</w:t>
            </w:r>
          </w:p>
        </w:tc>
      </w:tr>
    </w:tbl>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3MTkwMDBkZDE1ZTU3MjRkZjM5Y2JkN2FiNDA0ZDUifQ=="/>
  </w:docVars>
  <w:rsids>
    <w:rsidRoot w:val="00000000"/>
    <w:rsid w:val="02F346B1"/>
    <w:rsid w:val="049E41B5"/>
    <w:rsid w:val="05277873"/>
    <w:rsid w:val="05787E1C"/>
    <w:rsid w:val="083F5472"/>
    <w:rsid w:val="090F375A"/>
    <w:rsid w:val="09542451"/>
    <w:rsid w:val="0AE30305"/>
    <w:rsid w:val="0BD74BB6"/>
    <w:rsid w:val="0C0C325E"/>
    <w:rsid w:val="0CE37E49"/>
    <w:rsid w:val="0FC338F7"/>
    <w:rsid w:val="1046543F"/>
    <w:rsid w:val="116A7894"/>
    <w:rsid w:val="11BC5BD9"/>
    <w:rsid w:val="12850115"/>
    <w:rsid w:val="12925711"/>
    <w:rsid w:val="12CF7D86"/>
    <w:rsid w:val="133058CC"/>
    <w:rsid w:val="13536956"/>
    <w:rsid w:val="1429196A"/>
    <w:rsid w:val="14F86EB1"/>
    <w:rsid w:val="15CE4437"/>
    <w:rsid w:val="16A65328"/>
    <w:rsid w:val="16CB1F2F"/>
    <w:rsid w:val="173E08E4"/>
    <w:rsid w:val="176A6E79"/>
    <w:rsid w:val="1C3A01F8"/>
    <w:rsid w:val="1CE17DF7"/>
    <w:rsid w:val="1D355752"/>
    <w:rsid w:val="1D9B2086"/>
    <w:rsid w:val="1E20277C"/>
    <w:rsid w:val="1FAD4927"/>
    <w:rsid w:val="20541126"/>
    <w:rsid w:val="20A73D02"/>
    <w:rsid w:val="23DE5848"/>
    <w:rsid w:val="247F427C"/>
    <w:rsid w:val="25F34F3E"/>
    <w:rsid w:val="26311B3A"/>
    <w:rsid w:val="267C12BA"/>
    <w:rsid w:val="271436A9"/>
    <w:rsid w:val="28591171"/>
    <w:rsid w:val="2AC0200F"/>
    <w:rsid w:val="2BEF51AE"/>
    <w:rsid w:val="2C46257B"/>
    <w:rsid w:val="2D1519FD"/>
    <w:rsid w:val="2F2867A2"/>
    <w:rsid w:val="2F97027C"/>
    <w:rsid w:val="2FCA4F5D"/>
    <w:rsid w:val="2FE750F4"/>
    <w:rsid w:val="31241E6E"/>
    <w:rsid w:val="32254BFB"/>
    <w:rsid w:val="32CE54EA"/>
    <w:rsid w:val="34E45BA0"/>
    <w:rsid w:val="35E05BBA"/>
    <w:rsid w:val="36A004A3"/>
    <w:rsid w:val="390F4678"/>
    <w:rsid w:val="396E7785"/>
    <w:rsid w:val="399D4CBD"/>
    <w:rsid w:val="3A6D61A4"/>
    <w:rsid w:val="3A94733C"/>
    <w:rsid w:val="3C9406F1"/>
    <w:rsid w:val="3CF95F90"/>
    <w:rsid w:val="3E2717D1"/>
    <w:rsid w:val="3E321A5A"/>
    <w:rsid w:val="3F721CD6"/>
    <w:rsid w:val="404843AC"/>
    <w:rsid w:val="42533AE6"/>
    <w:rsid w:val="429B15D2"/>
    <w:rsid w:val="42C95A18"/>
    <w:rsid w:val="451F4B74"/>
    <w:rsid w:val="454113CA"/>
    <w:rsid w:val="46436698"/>
    <w:rsid w:val="47F43536"/>
    <w:rsid w:val="48334429"/>
    <w:rsid w:val="491A2391"/>
    <w:rsid w:val="4CDF5675"/>
    <w:rsid w:val="4CF07664"/>
    <w:rsid w:val="4DDD676C"/>
    <w:rsid w:val="51CA32CB"/>
    <w:rsid w:val="55C10645"/>
    <w:rsid w:val="55E0078B"/>
    <w:rsid w:val="57F4456D"/>
    <w:rsid w:val="57FC6DD9"/>
    <w:rsid w:val="58AA1DC2"/>
    <w:rsid w:val="5A14250B"/>
    <w:rsid w:val="5AA708CA"/>
    <w:rsid w:val="5D257BB5"/>
    <w:rsid w:val="5F7E303B"/>
    <w:rsid w:val="6021379A"/>
    <w:rsid w:val="60AD0188"/>
    <w:rsid w:val="67636EFE"/>
    <w:rsid w:val="6BE05D81"/>
    <w:rsid w:val="6CF05688"/>
    <w:rsid w:val="6D41535E"/>
    <w:rsid w:val="6FE67322"/>
    <w:rsid w:val="72F46885"/>
    <w:rsid w:val="74E0128B"/>
    <w:rsid w:val="760009FF"/>
    <w:rsid w:val="76F85324"/>
    <w:rsid w:val="796B2693"/>
    <w:rsid w:val="79B74AA6"/>
    <w:rsid w:val="7EF2571C"/>
    <w:rsid w:val="7FA3106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paragraph" w:styleId="5">
    <w:name w:val="Title"/>
    <w:basedOn w:val="1"/>
    <w:next w:val="1"/>
    <w:qFormat/>
    <w:uiPriority w:val="0"/>
    <w:pPr>
      <w:widowControl w:val="0"/>
      <w:spacing w:before="240" w:after="60"/>
      <w:jc w:val="center"/>
      <w:outlineLvl w:val="0"/>
    </w:pPr>
    <w:rPr>
      <w:rFonts w:ascii="Cambria" w:hAnsi="Cambria" w:eastAsia="等线"/>
      <w:b/>
      <w:bCs/>
      <w:kern w:val="2"/>
      <w:sz w:val="32"/>
      <w:szCs w:val="32"/>
    </w:rPr>
  </w:style>
  <w:style w:type="character" w:styleId="7">
    <w:name w:val="Strong"/>
    <w:basedOn w:val="6"/>
    <w:qFormat/>
    <w:uiPriority w:val="0"/>
    <w:rPr>
      <w:b/>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816</Words>
  <Characters>882</Characters>
  <Lines>0</Lines>
  <Paragraphs>0</Paragraphs>
  <ScaleCrop>false</ScaleCrop>
  <LinksUpToDate>false</LinksUpToDate>
  <CharactersWithSpaces>884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2021-07-13T07:56:00Z</dcterms:created>
  <dc:creator>1</dc:creator>
  <cp:lastModifiedBy>lincan</cp:lastModifiedBy>
  <cp:lastPrinted>2024-09-12T07:09:00Z</cp:lastPrinted>
  <dcterms:modified xsi:type="dcterms:W3CDTF">2025-08-05T11:05:16Z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7155C3D85818484FBF6F584B252747F7</vt:lpwstr>
  </property>
</Properties>
</file>