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_GB2312" w:hAnsi="仿宋_GB2312" w:eastAsia="仿宋_GB2312" w:cs="仿宋_GB2312"/>
          <w:b/>
          <w:color w:val="auto"/>
        </w:rPr>
      </w:pPr>
      <w:r>
        <w:rPr>
          <w:rFonts w:hint="eastAsia" w:ascii="仿宋_GB2312" w:hAnsi="仿宋_GB2312" w:eastAsia="仿宋_GB2312" w:cs="仿宋_GB2312"/>
          <w:b/>
          <w:color w:val="auto"/>
        </w:rPr>
        <w:t>附件1</w:t>
      </w:r>
    </w:p>
    <w:p>
      <w:pPr>
        <w:spacing w:line="600" w:lineRule="exact"/>
        <w:jc w:val="center"/>
        <w:rPr>
          <w:rFonts w:hint="eastAsia" w:ascii="方正大标宋简体" w:hAnsi="方正大标宋简体" w:eastAsia="方正大标宋简体" w:cs="方正大标宋简体"/>
          <w:bCs/>
          <w:color w:val="auto"/>
          <w:sz w:val="44"/>
          <w:szCs w:val="44"/>
        </w:rPr>
      </w:pPr>
      <w:r>
        <w:rPr>
          <w:rFonts w:hint="eastAsia" w:ascii="方正大标宋简体" w:hAnsi="方正大标宋简体" w:eastAsia="方正大标宋简体" w:cs="方正大标宋简体"/>
          <w:bCs/>
          <w:color w:val="auto"/>
          <w:sz w:val="44"/>
          <w:szCs w:val="44"/>
          <w:lang w:eastAsia="zh-CN"/>
        </w:rPr>
        <w:t>清查服务</w:t>
      </w:r>
      <w:r>
        <w:rPr>
          <w:rFonts w:hint="eastAsia" w:ascii="方正大标宋简体" w:hAnsi="方正大标宋简体" w:eastAsia="方正大标宋简体" w:cs="方正大标宋简体"/>
          <w:bCs/>
          <w:color w:val="auto"/>
          <w:sz w:val="44"/>
          <w:szCs w:val="44"/>
        </w:rPr>
        <w:t>方案</w:t>
      </w:r>
    </w:p>
    <w:p>
      <w:pPr>
        <w:numPr>
          <w:ilvl w:val="0"/>
          <w:numId w:val="1"/>
        </w:numPr>
        <w:spacing w:line="60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Cs/>
          <w:color w:val="auto"/>
          <w:sz w:val="32"/>
          <w:szCs w:val="32"/>
          <w:lang w:val="en-US" w:eastAsia="zh-CN"/>
        </w:rPr>
        <w:t>盘点范围：</w:t>
      </w:r>
      <w:r>
        <w:rPr>
          <w:rFonts w:hint="eastAsia" w:ascii="仿宋_GB2312" w:hAnsi="仿宋_GB2312" w:eastAsia="仿宋_GB2312" w:cs="仿宋_GB2312"/>
          <w:bCs/>
          <w:color w:val="auto"/>
          <w:kern w:val="2"/>
          <w:szCs w:val="32"/>
          <w:lang w:eastAsia="zh-CN"/>
        </w:rPr>
        <w:t>福州市应急管理局</w:t>
      </w:r>
      <w:r>
        <w:rPr>
          <w:rFonts w:hint="eastAsia" w:ascii="仿宋_GB2312" w:hAnsi="仿宋_GB2312" w:eastAsia="仿宋_GB2312" w:cs="仿宋_GB2312"/>
          <w:bCs/>
          <w:color w:val="auto"/>
          <w:kern w:val="2"/>
          <w:sz w:val="32"/>
          <w:szCs w:val="32"/>
          <w:lang w:eastAsia="zh-CN"/>
        </w:rPr>
        <w:t>及</w:t>
      </w:r>
      <w:r>
        <w:rPr>
          <w:rFonts w:hint="eastAsia" w:ascii="仿宋_GB2312" w:hAnsi="仿宋_GB2312" w:eastAsia="仿宋_GB2312" w:cs="仿宋_GB2312"/>
          <w:sz w:val="32"/>
          <w:szCs w:val="32"/>
          <w:lang w:val="en-US" w:eastAsia="zh-CN"/>
        </w:rPr>
        <w:t>两家下属单位的所有资产进行盘点，总计约131362项资产，资产原值总计约8482.3万元。</w:t>
      </w:r>
    </w:p>
    <w:p>
      <w:pPr>
        <w:numPr>
          <w:ilvl w:val="0"/>
          <w:numId w:val="1"/>
        </w:numPr>
        <w:spacing w:line="60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盘点周期：约60个工作日。</w:t>
      </w:r>
    </w:p>
    <w:p>
      <w:pPr>
        <w:numPr>
          <w:ilvl w:val="0"/>
          <w:numId w:val="1"/>
        </w:numPr>
        <w:spacing w:line="60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盘点内容：</w:t>
      </w:r>
    </w:p>
    <w:tbl>
      <w:tblPr>
        <w:tblStyle w:val="3"/>
        <w:tblpPr w:leftFromText="180" w:rightFromText="180" w:vertAnchor="text" w:horzAnchor="page" w:tblpXSpec="center" w:tblpY="510"/>
        <w:tblOverlap w:val="never"/>
        <w:tblW w:w="8229" w:type="dxa"/>
        <w:jc w:val="center"/>
        <w:tblInd w:w="-7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4"/>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jc w:val="center"/>
        </w:trPr>
        <w:tc>
          <w:tcPr>
            <w:tcW w:w="1404" w:type="dxa"/>
            <w:vAlign w:val="center"/>
          </w:tcPr>
          <w:p>
            <w:pPr>
              <w:spacing w:line="500" w:lineRule="exact"/>
              <w:jc w:val="center"/>
              <w:rPr>
                <w:rFonts w:hint="eastAsia" w:ascii="仿宋_GB2312" w:hAnsi="仿宋_GB2312" w:eastAsia="仿宋_GB2312" w:cs="仿宋_GB2312"/>
                <w:bCs/>
                <w:color w:val="auto"/>
                <w:sz w:val="28"/>
                <w:szCs w:val="28"/>
                <w:lang w:eastAsia="zh-CN"/>
              </w:rPr>
            </w:pPr>
            <w:r>
              <w:rPr>
                <w:rFonts w:hint="eastAsia" w:ascii="仿宋_GB2312" w:hAnsi="仿宋_GB2312" w:eastAsia="仿宋_GB2312" w:cs="仿宋_GB2312"/>
                <w:bCs/>
                <w:color w:val="auto"/>
                <w:sz w:val="28"/>
                <w:szCs w:val="28"/>
                <w:lang w:eastAsia="zh-CN"/>
              </w:rPr>
              <w:t>项目名称</w:t>
            </w:r>
          </w:p>
        </w:tc>
        <w:tc>
          <w:tcPr>
            <w:tcW w:w="6825" w:type="dxa"/>
            <w:vAlign w:val="center"/>
          </w:tcPr>
          <w:p>
            <w:pPr>
              <w:spacing w:line="500" w:lineRule="exact"/>
              <w:jc w:val="center"/>
              <w:rPr>
                <w:rFonts w:hint="eastAsia" w:ascii="仿宋_GB2312" w:hAnsi="仿宋_GB2312" w:eastAsia="仿宋_GB2312" w:cs="仿宋_GB2312"/>
                <w:bCs/>
                <w:color w:val="auto"/>
                <w:sz w:val="28"/>
                <w:szCs w:val="28"/>
                <w:lang w:val="en-US" w:eastAsia="zh-CN"/>
              </w:rPr>
            </w:pPr>
            <w:r>
              <w:rPr>
                <w:rFonts w:hint="eastAsia" w:ascii="仿宋_GB2312" w:hAnsi="仿宋_GB2312" w:eastAsia="仿宋_GB2312" w:cs="仿宋_GB2312"/>
                <w:bCs/>
                <w:color w:val="auto"/>
                <w:sz w:val="28"/>
                <w:szCs w:val="28"/>
                <w:lang w:val="en-US" w:eastAsia="zh-CN"/>
              </w:rPr>
              <w:t>具体服务内容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jc w:val="center"/>
        </w:trPr>
        <w:tc>
          <w:tcPr>
            <w:tcW w:w="1404" w:type="dxa"/>
            <w:vAlign w:val="center"/>
          </w:tcPr>
          <w:p>
            <w:pPr>
              <w:spacing w:line="500" w:lineRule="exact"/>
              <w:jc w:val="center"/>
              <w:rPr>
                <w:rFonts w:hint="eastAsia" w:ascii="仿宋_GB2312" w:hAnsi="仿宋_GB2312" w:eastAsia="仿宋_GB2312" w:cs="仿宋_GB2312"/>
                <w:bCs/>
                <w:color w:val="auto"/>
                <w:sz w:val="28"/>
                <w:szCs w:val="28"/>
                <w:lang w:eastAsia="zh-CN"/>
              </w:rPr>
            </w:pPr>
            <w:r>
              <w:rPr>
                <w:rFonts w:hint="eastAsia" w:ascii="仿宋_GB2312" w:hAnsi="仿宋_GB2312" w:eastAsia="仿宋_GB2312" w:cs="仿宋_GB2312"/>
                <w:bCs/>
                <w:color w:val="auto"/>
                <w:sz w:val="28"/>
                <w:szCs w:val="28"/>
                <w:lang w:eastAsia="zh-CN"/>
              </w:rPr>
              <w:t>整理资产数据</w:t>
            </w:r>
          </w:p>
        </w:tc>
        <w:tc>
          <w:tcPr>
            <w:tcW w:w="6825" w:type="dxa"/>
            <w:vAlign w:val="top"/>
          </w:tcPr>
          <w:p>
            <w:pPr>
              <w:numPr>
                <w:ilvl w:val="0"/>
                <w:numId w:val="2"/>
              </w:numPr>
              <w:spacing w:line="500" w:lineRule="exact"/>
              <w:jc w:val="left"/>
              <w:rPr>
                <w:rFonts w:hint="eastAsia" w:ascii="仿宋_GB2312" w:hAnsi="仿宋_GB2312" w:eastAsia="仿宋_GB2312" w:cs="仿宋_GB2312"/>
                <w:bCs/>
                <w:color w:val="auto"/>
                <w:sz w:val="28"/>
                <w:szCs w:val="28"/>
                <w:lang w:val="en-US" w:eastAsia="zh-CN"/>
              </w:rPr>
            </w:pPr>
            <w:r>
              <w:rPr>
                <w:rFonts w:hint="eastAsia" w:ascii="仿宋_GB2312" w:hAnsi="仿宋_GB2312" w:eastAsia="仿宋_GB2312" w:cs="仿宋_GB2312"/>
                <w:bCs/>
                <w:color w:val="auto"/>
                <w:sz w:val="28"/>
                <w:szCs w:val="28"/>
                <w:lang w:val="en-US" w:eastAsia="zh-CN"/>
              </w:rPr>
              <w:t>导出资产台账数据，并按照资产分类、购入年份等信息进行资产台账分类。</w:t>
            </w:r>
          </w:p>
          <w:p>
            <w:pPr>
              <w:numPr>
                <w:ilvl w:val="0"/>
                <w:numId w:val="2"/>
              </w:numPr>
              <w:spacing w:line="500" w:lineRule="exact"/>
              <w:jc w:val="left"/>
              <w:rPr>
                <w:rFonts w:hint="eastAsia" w:ascii="仿宋_GB2312" w:hAnsi="仿宋_GB2312" w:eastAsia="仿宋_GB2312" w:cs="仿宋_GB2312"/>
                <w:bCs/>
                <w:color w:val="auto"/>
                <w:sz w:val="28"/>
                <w:szCs w:val="28"/>
                <w:lang w:val="en-US" w:eastAsia="zh-CN"/>
              </w:rPr>
            </w:pPr>
            <w:r>
              <w:rPr>
                <w:rFonts w:hint="eastAsia" w:ascii="仿宋_GB2312" w:hAnsi="仿宋_GB2312" w:eastAsia="仿宋_GB2312" w:cs="仿宋_GB2312"/>
                <w:bCs/>
                <w:color w:val="auto"/>
                <w:sz w:val="28"/>
                <w:szCs w:val="28"/>
                <w:lang w:val="en-US" w:eastAsia="zh-CN"/>
              </w:rPr>
              <w:t>信息不全或信息不明确的资产通过与相关责任人核对并补全资产台账中部分缺失信息，包括资产名称、入账时间、会计凭证号、资产原值等。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 w:hRule="atLeast"/>
          <w:jc w:val="center"/>
        </w:trPr>
        <w:tc>
          <w:tcPr>
            <w:tcW w:w="1404" w:type="dxa"/>
            <w:vAlign w:val="center"/>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资产数据初登记</w:t>
            </w:r>
          </w:p>
        </w:tc>
        <w:tc>
          <w:tcPr>
            <w:tcW w:w="6825" w:type="dxa"/>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对办公区域、考试基地、仓库等区域进行资产盘点，根据盘点情况在进行资产信息登记，包括资产类别、资产名称、品牌型号、购买日期、使用人、使用部门、使用状态、存放地点、管理人等。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jc w:val="center"/>
        </w:trPr>
        <w:tc>
          <w:tcPr>
            <w:tcW w:w="1404" w:type="dxa"/>
            <w:vAlign w:val="center"/>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资产数据核对</w:t>
            </w:r>
            <w:r>
              <w:rPr>
                <w:rFonts w:hint="eastAsia" w:ascii="仿宋_GB2312" w:hAnsi="仿宋_GB2312" w:eastAsia="仿宋_GB2312" w:cs="仿宋_GB2312"/>
                <w:bCs/>
                <w:color w:val="auto"/>
                <w:sz w:val="28"/>
                <w:szCs w:val="28"/>
                <w:lang w:eastAsia="zh-CN"/>
              </w:rPr>
              <w:t>和盘点</w:t>
            </w:r>
          </w:p>
        </w:tc>
        <w:tc>
          <w:tcPr>
            <w:tcW w:w="6825" w:type="dxa"/>
            <w:vAlign w:val="top"/>
          </w:tcPr>
          <w:p>
            <w:pPr>
              <w:numPr>
                <w:ilvl w:val="0"/>
                <w:numId w:val="0"/>
              </w:numPr>
              <w:spacing w:line="500" w:lineRule="exact"/>
              <w:jc w:val="left"/>
              <w:rPr>
                <w:rFonts w:hint="eastAsia" w:ascii="仿宋_GB2312" w:hAnsi="仿宋_GB2312" w:eastAsia="仿宋_GB2312" w:cs="仿宋_GB2312"/>
                <w:bCs/>
                <w:color w:val="auto"/>
                <w:sz w:val="28"/>
                <w:szCs w:val="28"/>
                <w:lang w:val="en-US" w:eastAsia="zh-CN"/>
              </w:rPr>
            </w:pPr>
            <w:r>
              <w:rPr>
                <w:rFonts w:hint="eastAsia" w:ascii="仿宋_GB2312" w:hAnsi="仿宋_GB2312" w:eastAsia="仿宋_GB2312" w:cs="仿宋_GB2312"/>
                <w:bCs/>
                <w:color w:val="auto"/>
                <w:sz w:val="28"/>
                <w:szCs w:val="28"/>
                <w:lang w:val="en-US" w:eastAsia="zh-CN"/>
              </w:rPr>
              <w:t>将实地盘点获取的数据进行整理和录入，在一体化系统上建立电子资产台账。对录入资产的数据进行初步核对，检查数据的完整性、准确性和逻辑性，需满足2025年全市行政事业单位资产清查工作的要求，如发现错误或遗漏及时进行修正，并形成资产盘点清单进行盘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jc w:val="center"/>
        </w:trPr>
        <w:tc>
          <w:tcPr>
            <w:tcW w:w="1404" w:type="dxa"/>
            <w:vAlign w:val="center"/>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资产资产条码打印与粘贴</w:t>
            </w:r>
          </w:p>
        </w:tc>
        <w:tc>
          <w:tcPr>
            <w:tcW w:w="6825" w:type="dxa"/>
            <w:vAlign w:val="center"/>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根据确认后的</w:t>
            </w:r>
            <w:r>
              <w:rPr>
                <w:rFonts w:hint="eastAsia" w:ascii="仿宋_GB2312" w:hAnsi="仿宋_GB2312" w:eastAsia="仿宋_GB2312" w:cs="仿宋_GB2312"/>
                <w:bCs/>
                <w:color w:val="auto"/>
                <w:sz w:val="28"/>
                <w:szCs w:val="28"/>
                <w:lang w:eastAsia="zh-CN"/>
              </w:rPr>
              <w:t>资产盘点清单</w:t>
            </w:r>
            <w:r>
              <w:rPr>
                <w:rFonts w:hint="eastAsia" w:ascii="仿宋_GB2312" w:hAnsi="仿宋_GB2312" w:eastAsia="仿宋_GB2312" w:cs="仿宋_GB2312"/>
                <w:bCs/>
                <w:color w:val="auto"/>
                <w:sz w:val="28"/>
                <w:szCs w:val="28"/>
                <w:lang w:val="en-US" w:eastAsia="zh-CN"/>
              </w:rPr>
              <w:t>对资产信息进行打印，并对应粘贴（资产一物一卡粘贴条码），标签信息主要包括资产名称、品牌型号、购买金额和取得时间等相关信息。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jc w:val="center"/>
        </w:trPr>
        <w:tc>
          <w:tcPr>
            <w:tcW w:w="1404" w:type="dxa"/>
            <w:vAlign w:val="center"/>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资产盘点报告</w:t>
            </w:r>
          </w:p>
        </w:tc>
        <w:tc>
          <w:tcPr>
            <w:tcW w:w="6825" w:type="dxa"/>
            <w:vAlign w:val="center"/>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根据盘点结果和数据核对情况，编制资产盘点报告。报告内容包括盘点目的、范围、方法、时间、人员、结果概述（资产总量、盘盈盘亏情况等）、存在的问题及建议、附件（资产盘点表、达到报废年限清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jc w:val="center"/>
        </w:trPr>
        <w:tc>
          <w:tcPr>
            <w:tcW w:w="1404" w:type="dxa"/>
            <w:vAlign w:val="center"/>
          </w:tcPr>
          <w:p>
            <w:pPr>
              <w:spacing w:line="500" w:lineRule="exact"/>
              <w:jc w:val="center"/>
              <w:rPr>
                <w:rFonts w:hint="eastAsia" w:ascii="仿宋_GB2312" w:hAnsi="仿宋_GB2312" w:eastAsia="仿宋_GB2312" w:cs="仿宋_GB2312"/>
                <w:bCs/>
                <w:color w:val="auto"/>
                <w:sz w:val="28"/>
                <w:szCs w:val="28"/>
                <w:lang w:eastAsia="zh-CN"/>
              </w:rPr>
            </w:pPr>
            <w:r>
              <w:rPr>
                <w:rFonts w:hint="eastAsia" w:ascii="仿宋_GB2312" w:hAnsi="仿宋_GB2312" w:eastAsia="仿宋_GB2312" w:cs="仿宋_GB2312"/>
                <w:bCs/>
                <w:color w:val="auto"/>
                <w:sz w:val="28"/>
                <w:szCs w:val="28"/>
                <w:lang w:eastAsia="zh-CN"/>
              </w:rPr>
              <w:t>服务</w:t>
            </w:r>
          </w:p>
        </w:tc>
        <w:tc>
          <w:tcPr>
            <w:tcW w:w="6825" w:type="dxa"/>
            <w:vAlign w:val="center"/>
          </w:tcPr>
          <w:p>
            <w:pPr>
              <w:numPr>
                <w:numId w:val="0"/>
              </w:num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1.</w:t>
            </w:r>
            <w:r>
              <w:rPr>
                <w:rFonts w:hint="eastAsia" w:ascii="仿宋_GB2312" w:hAnsi="仿宋_GB2312" w:eastAsia="仿宋_GB2312" w:cs="仿宋_GB2312"/>
                <w:bCs/>
                <w:color w:val="auto"/>
                <w:sz w:val="28"/>
                <w:szCs w:val="28"/>
              </w:rPr>
              <w:t>根据资产、内控、财务等相关政策文件要求，为甲方单位提供专业的咨询服务，为甲方资产管理业务保驾护航。</w:t>
            </w:r>
          </w:p>
          <w:p>
            <w:pPr>
              <w:numPr>
                <w:numId w:val="0"/>
              </w:numPr>
              <w:spacing w:line="500" w:lineRule="exact"/>
              <w:jc w:val="left"/>
              <w:rPr>
                <w:rFonts w:hint="eastAsia" w:ascii="仿宋_GB2312" w:hAnsi="仿宋_GB2312" w:eastAsia="仿宋_GB2312" w:cs="仿宋_GB2312"/>
                <w:bCs/>
                <w:color w:val="auto"/>
                <w:sz w:val="28"/>
                <w:szCs w:val="28"/>
                <w:lang w:val="en-US" w:eastAsia="zh-CN"/>
              </w:rPr>
            </w:pPr>
            <w:r>
              <w:rPr>
                <w:rFonts w:hint="eastAsia" w:ascii="仿宋_GB2312" w:hAnsi="仿宋_GB2312" w:eastAsia="仿宋_GB2312" w:cs="仿宋_GB2312"/>
                <w:bCs/>
                <w:color w:val="auto"/>
                <w:sz w:val="28"/>
                <w:szCs w:val="28"/>
                <w:lang w:val="en-US" w:eastAsia="zh-CN"/>
              </w:rPr>
              <w:t>2.含资产年报服务一次。</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020086"/>
    <w:multiLevelType w:val="singleLevel"/>
    <w:tmpl w:val="68020086"/>
    <w:lvl w:ilvl="0" w:tentative="0">
      <w:start w:val="1"/>
      <w:numFmt w:val="decimal"/>
      <w:suff w:val="nothing"/>
      <w:lvlText w:val="%1."/>
      <w:lvlJc w:val="left"/>
    </w:lvl>
  </w:abstractNum>
  <w:abstractNum w:abstractNumId="1">
    <w:nsid w:val="680204DE"/>
    <w:multiLevelType w:val="singleLevel"/>
    <w:tmpl w:val="680204DE"/>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662649"/>
    <w:rsid w:val="05A00ED1"/>
    <w:rsid w:val="19662649"/>
    <w:rsid w:val="1ACD6AEF"/>
    <w:rsid w:val="27117BF7"/>
    <w:rsid w:val="2F81165F"/>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Fließtext"/>
    <w:basedOn w:val="1"/>
    <w:qFormat/>
    <w:uiPriority w:val="0"/>
    <w:pPr>
      <w:overflowPunct w:val="0"/>
      <w:autoSpaceDE w:val="0"/>
      <w:autoSpaceDN w:val="0"/>
      <w:adjustRightInd w:val="0"/>
      <w:textAlignment w:val="baseline"/>
    </w:pPr>
    <w:rPr>
      <w:kern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2024-12-17T02:16:00Z</dcterms:created>
  <dc:creator>86139</dc:creator>
  <cp:lastModifiedBy>Lenovo</cp:lastModifiedBy>
  <cp:lastPrinted>2025-04-18T08:01:00Z</cp:lastPrinted>
  <dcterms:modified xsi:type="dcterms:W3CDTF">2025-04-18T08:06:29Z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FFE7DF79B27B42C7968B9EE02DC63FA8</vt:lpwstr>
  </property>
</Properties>
</file>