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000000" w:sz="0" w:space="0"/>
          <w:left w:val="none" w:color="000000" w:sz="0" w:space="0"/>
          <w:bottom w:val="none" w:color="000000" w:sz="0" w:space="0"/>
          <w:right w:val="none" w:color="000000" w:sz="0" w:space="0"/>
        </w:pBdr>
        <w:shd w:val="clear" w:color="FFFFFF" w:fill="FFFFFF"/>
        <w:spacing w:before="30" w:after="30"/>
        <w:ind w:left="0" w:right="0" w:firstLine="640"/>
        <w:rPr>
          <w:rFonts w:hint="eastAsia" w:ascii="仿宋" w:hAnsi="仿宋" w:eastAsia="仿宋" w:cs="仿宋"/>
          <w:sz w:val="30"/>
          <w:lang w:eastAsia="zh-CN"/>
        </w:rPr>
      </w:pPr>
      <w:r>
        <w:rPr>
          <w:rFonts w:ascii="仿宋" w:hAnsi="仿宋" w:eastAsia="仿宋" w:cs="仿宋"/>
          <w:b/>
          <w:bCs/>
          <w:color w:val="000000"/>
          <w:sz w:val="27"/>
        </w:rPr>
        <w:t>采购需求</w:t>
      </w:r>
      <w:r>
        <w:rPr>
          <w:rFonts w:hint="eastAsia" w:ascii="仿宋" w:hAnsi="仿宋" w:eastAsia="仿宋" w:cs="仿宋"/>
          <w:b/>
          <w:bCs/>
          <w:color w:val="000000"/>
          <w:sz w:val="27"/>
          <w:lang w:eastAsia="zh-CN"/>
        </w:rPr>
        <w:t>：</w:t>
      </w:r>
    </w:p>
    <w:p>
      <w:pPr>
        <w:pBdr>
          <w:top w:val="none" w:color="000000" w:sz="0" w:space="0"/>
          <w:left w:val="none" w:color="000000" w:sz="0" w:space="0"/>
          <w:bottom w:val="none" w:color="000000" w:sz="0" w:space="0"/>
          <w:right w:val="none" w:color="000000" w:sz="0" w:space="0"/>
        </w:pBdr>
        <w:shd w:val="clear" w:color="FFFFFF" w:fill="FFFFFF"/>
        <w:spacing w:before="30" w:after="30"/>
        <w:ind w:left="0" w:right="0" w:firstLine="645"/>
        <w:rPr>
          <w:rFonts w:hint="eastAsia" w:ascii="仿宋" w:hAnsi="仿宋" w:eastAsia="仿宋" w:cs="仿宋"/>
          <w:sz w:val="30"/>
          <w:lang w:eastAsia="zh-CN"/>
        </w:rPr>
      </w:pPr>
      <w:r>
        <w:rPr>
          <w:rFonts w:ascii="仿宋" w:hAnsi="仿宋" w:eastAsia="仿宋" w:cs="仿宋"/>
          <w:color w:val="000000"/>
          <w:sz w:val="27"/>
        </w:rPr>
        <w:t>对市粮储局资产系统共</w:t>
      </w:r>
      <w:r>
        <w:rPr>
          <w:rFonts w:hint="eastAsia" w:ascii="仿宋" w:hAnsi="仿宋" w:eastAsia="仿宋" w:cs="仿宋"/>
          <w:color w:val="FF0000"/>
          <w:sz w:val="27"/>
          <w:lang w:val="en-US" w:eastAsia="zh-CN"/>
        </w:rPr>
        <w:t>460</w:t>
      </w:r>
      <w:r>
        <w:rPr>
          <w:rFonts w:ascii="仿宋" w:hAnsi="仿宋" w:eastAsia="仿宋" w:cs="仿宋"/>
          <w:color w:val="000000"/>
          <w:sz w:val="27"/>
        </w:rPr>
        <w:t>余项固定资产进行清查盘点，内容包括匹配实物、补贴标签、规范台账、资产报废、提供有资质会计师事务所出具的清查盘点报告等</w:t>
      </w:r>
      <w:r>
        <w:rPr>
          <w:rFonts w:hint="eastAsia" w:ascii="仿宋" w:hAnsi="仿宋" w:eastAsia="仿宋" w:cs="仿宋"/>
          <w:color w:val="000000"/>
          <w:sz w:val="27"/>
          <w:lang w:eastAsia="zh-CN"/>
        </w:rPr>
        <w:t>。具体详见附件</w:t>
      </w:r>
      <w:r>
        <w:rPr>
          <w:rFonts w:hint="eastAsia" w:ascii="仿宋" w:hAnsi="仿宋" w:eastAsia="仿宋" w:cs="仿宋"/>
          <w:color w:val="000000"/>
          <w:sz w:val="27"/>
          <w:lang w:val="en-US" w:eastAsia="zh-CN"/>
        </w:rPr>
        <w:t>1</w:t>
      </w:r>
      <w:r>
        <w:rPr>
          <w:rFonts w:hint="eastAsia" w:ascii="仿宋" w:hAnsi="仿宋" w:eastAsia="仿宋" w:cs="仿宋"/>
          <w:color w:val="000000"/>
          <w:sz w:val="27"/>
          <w:lang w:eastAsia="zh-CN"/>
        </w:rPr>
        <w:t>采购需求表。</w:t>
      </w:r>
    </w:p>
    <w:p>
      <w:pPr>
        <w:pStyle w:val="4"/>
        <w:spacing w:line="460" w:lineRule="exact"/>
        <w:outlineLvl w:val="0"/>
        <w:rPr>
          <w:rFonts w:hint="eastAsia" w:ascii="仿宋_GB2312" w:hAnsi="仿宋" w:eastAsia="仿宋_GB2312"/>
          <w:sz w:val="32"/>
          <w:szCs w:val="32"/>
        </w:rPr>
      </w:pPr>
    </w:p>
    <w:p>
      <w:pPr>
        <w:pStyle w:val="4"/>
        <w:spacing w:line="460" w:lineRule="exact"/>
        <w:outlineLvl w:val="0"/>
        <w:rPr>
          <w:rFonts w:hint="eastAsia" w:ascii="仿宋_GB2312" w:hAnsi="仿宋" w:eastAsia="仿宋_GB2312"/>
          <w:sz w:val="32"/>
          <w:szCs w:val="32"/>
          <w:highlight w:val="none"/>
        </w:rPr>
      </w:pPr>
    </w:p>
    <w:p>
      <w:pPr>
        <w:pStyle w:val="4"/>
        <w:spacing w:line="460" w:lineRule="exact"/>
        <w:outlineLvl w:val="0"/>
        <w:rPr>
          <w:rFonts w:hint="eastAsia" w:ascii="仿宋_GB2312" w:hAnsi="仿宋" w:eastAsia="仿宋_GB2312"/>
          <w:sz w:val="32"/>
          <w:szCs w:val="32"/>
          <w:highlight w:val="none"/>
        </w:rPr>
      </w:pPr>
      <w:r>
        <w:rPr>
          <w:rFonts w:hint="eastAsia" w:ascii="仿宋_GB2312" w:hAnsi="仿宋" w:eastAsia="仿宋_GB2312"/>
          <w:sz w:val="32"/>
          <w:szCs w:val="32"/>
        </w:rPr>
        <w:t>附件1</w:t>
      </w:r>
    </w:p>
    <w:p>
      <w:pPr>
        <w:pStyle w:val="4"/>
        <w:jc w:val="center"/>
        <w:outlineLvl w:val="0"/>
        <w:rPr>
          <w:b/>
          <w:bCs/>
          <w:sz w:val="32"/>
          <w:szCs w:val="32"/>
        </w:rPr>
      </w:pPr>
      <w:r>
        <w:rPr>
          <w:rFonts w:hint="eastAsia"/>
          <w:b/>
          <w:bCs/>
          <w:sz w:val="32"/>
          <w:szCs w:val="32"/>
        </w:rPr>
        <w:t>采购需求表</w:t>
      </w:r>
    </w:p>
    <w:tbl>
      <w:tblPr>
        <w:tblStyle w:val="3"/>
        <w:tblW w:w="14325" w:type="dxa"/>
        <w:tblInd w:w="-15" w:type="dxa"/>
        <w:tblLayout w:type="fixed"/>
        <w:tblCellMar>
          <w:top w:w="0" w:type="dxa"/>
          <w:left w:w="108" w:type="dxa"/>
          <w:bottom w:w="0" w:type="dxa"/>
          <w:right w:w="108" w:type="dxa"/>
        </w:tblCellMar>
      </w:tblPr>
      <w:tblGrid>
        <w:gridCol w:w="975"/>
        <w:gridCol w:w="13350"/>
      </w:tblGrid>
      <w:tr>
        <w:tblPrEx>
          <w:tblLayout w:type="fixed"/>
          <w:tblCellMar>
            <w:top w:w="0" w:type="dxa"/>
            <w:left w:w="108" w:type="dxa"/>
            <w:bottom w:w="0" w:type="dxa"/>
            <w:right w:w="108" w:type="dxa"/>
          </w:tblCellMar>
        </w:tblPrEx>
        <w:trPr>
          <w:trHeight w:val="24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b/>
                <w:bCs/>
                <w:color w:val="333333"/>
                <w:sz w:val="20"/>
                <w:szCs w:val="20"/>
              </w:rPr>
            </w:pPr>
            <w:r>
              <w:rPr>
                <w:rFonts w:hint="eastAsia" w:ascii="仿宋_GB2312" w:hAnsi="宋体" w:eastAsia="仿宋_GB2312" w:cs="宋体"/>
                <w:b/>
                <w:bCs/>
                <w:color w:val="333333"/>
                <w:sz w:val="20"/>
                <w:szCs w:val="20"/>
                <w:lang w:bidi="ar"/>
              </w:rPr>
              <w:t>序号</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b/>
                <w:bCs/>
                <w:color w:val="333333"/>
                <w:sz w:val="20"/>
                <w:szCs w:val="20"/>
              </w:rPr>
            </w:pPr>
            <w:r>
              <w:rPr>
                <w:rFonts w:hint="eastAsia" w:ascii="仿宋_GB2312" w:hAnsi="宋体" w:eastAsia="仿宋_GB2312" w:cs="宋体"/>
                <w:b/>
                <w:bCs/>
                <w:color w:val="333333"/>
                <w:sz w:val="20"/>
                <w:szCs w:val="20"/>
                <w:lang w:bidi="ar"/>
              </w:rPr>
              <w:t>采购需求内容</w:t>
            </w:r>
          </w:p>
        </w:tc>
      </w:tr>
      <w:tr>
        <w:tblPrEx>
          <w:tblLayout w:type="fixed"/>
          <w:tblCellMar>
            <w:top w:w="0" w:type="dxa"/>
            <w:left w:w="108" w:type="dxa"/>
            <w:bottom w:w="0" w:type="dxa"/>
            <w:right w:w="108" w:type="dxa"/>
          </w:tblCellMar>
        </w:tblPrEx>
        <w:trPr>
          <w:trHeight w:val="48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1</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资产账与财务账相符：以财务资产</w:t>
            </w:r>
            <w:r>
              <w:rPr>
                <w:rFonts w:hint="eastAsia" w:ascii="仿宋_GB2312" w:hAnsi="宋体" w:eastAsia="仿宋_GB2312" w:cs="宋体"/>
                <w:color w:val="333333"/>
                <w:sz w:val="20"/>
                <w:szCs w:val="20"/>
                <w:lang w:eastAsia="zh-CN" w:bidi="ar"/>
              </w:rPr>
              <w:t>账</w:t>
            </w:r>
            <w:r>
              <w:rPr>
                <w:rFonts w:hint="eastAsia" w:ascii="仿宋_GB2312" w:hAnsi="宋体" w:eastAsia="仿宋_GB2312" w:cs="宋体"/>
                <w:color w:val="333333"/>
                <w:sz w:val="20"/>
                <w:szCs w:val="20"/>
                <w:lang w:bidi="ar"/>
              </w:rPr>
              <w:t>数据为基准</w:t>
            </w:r>
            <w:r>
              <w:rPr>
                <w:rFonts w:hint="eastAsia" w:ascii="仿宋_GB2312" w:hAnsi="宋体" w:eastAsia="仿宋_GB2312" w:cs="宋体"/>
                <w:color w:val="333333"/>
                <w:sz w:val="20"/>
                <w:szCs w:val="20"/>
                <w:lang w:eastAsia="zh-CN" w:bidi="ar"/>
              </w:rPr>
              <w:t>，与采购</w:t>
            </w:r>
            <w:r>
              <w:rPr>
                <w:rFonts w:hint="eastAsia" w:ascii="仿宋_GB2312" w:hAnsi="宋体" w:eastAsia="仿宋_GB2312" w:cs="宋体"/>
                <w:color w:val="333333"/>
                <w:sz w:val="20"/>
                <w:szCs w:val="20"/>
                <w:lang w:bidi="ar"/>
              </w:rPr>
              <w:t>单位资产管理平台上的资产数据逐条进行核对，补充和修正资产管理平台数据，确保</w:t>
            </w:r>
            <w:r>
              <w:rPr>
                <w:rFonts w:hint="eastAsia" w:ascii="仿宋_GB2312" w:hAnsi="宋体" w:eastAsia="仿宋_GB2312" w:cs="宋体"/>
                <w:color w:val="FF0000"/>
                <w:sz w:val="20"/>
                <w:szCs w:val="20"/>
                <w:lang w:eastAsia="zh-CN" w:bidi="ar"/>
              </w:rPr>
              <w:t>八</w:t>
            </w:r>
            <w:r>
              <w:rPr>
                <w:rFonts w:hint="eastAsia" w:ascii="仿宋_GB2312" w:hAnsi="宋体" w:eastAsia="仿宋_GB2312" w:cs="宋体"/>
                <w:color w:val="FF0000"/>
                <w:sz w:val="20"/>
                <w:szCs w:val="20"/>
                <w:lang w:bidi="ar"/>
              </w:rPr>
              <w:t>大类</w:t>
            </w:r>
            <w:r>
              <w:rPr>
                <w:rFonts w:hint="eastAsia" w:ascii="仿宋_GB2312" w:hAnsi="宋体" w:eastAsia="仿宋_GB2312" w:cs="宋体"/>
                <w:color w:val="333333"/>
                <w:sz w:val="20"/>
                <w:szCs w:val="20"/>
                <w:lang w:bidi="ar"/>
              </w:rPr>
              <w:t>固定资产的资产账与财务账总额相符，确保当年及近</w:t>
            </w:r>
            <w:r>
              <w:rPr>
                <w:rFonts w:hint="eastAsia" w:ascii="仿宋_GB2312" w:hAnsi="宋体" w:eastAsia="仿宋_GB2312" w:cs="宋体"/>
                <w:color w:val="333333"/>
                <w:sz w:val="20"/>
                <w:szCs w:val="20"/>
                <w:lang w:eastAsia="zh-CN" w:bidi="ar"/>
              </w:rPr>
              <w:t>五</w:t>
            </w:r>
            <w:r>
              <w:rPr>
                <w:rFonts w:hint="eastAsia" w:ascii="仿宋_GB2312" w:hAnsi="宋体" w:eastAsia="仿宋_GB2312" w:cs="宋体"/>
                <w:color w:val="333333"/>
                <w:sz w:val="20"/>
                <w:szCs w:val="20"/>
                <w:lang w:bidi="ar"/>
              </w:rPr>
              <w:t>年每年度的</w:t>
            </w:r>
            <w:r>
              <w:rPr>
                <w:rFonts w:hint="eastAsia" w:ascii="仿宋_GB2312" w:hAnsi="宋体" w:eastAsia="仿宋_GB2312" w:cs="宋体"/>
                <w:color w:val="333333"/>
                <w:sz w:val="20"/>
                <w:szCs w:val="20"/>
                <w:lang w:eastAsia="zh-CN" w:bidi="ar"/>
              </w:rPr>
              <w:t>八</w:t>
            </w:r>
            <w:r>
              <w:rPr>
                <w:rFonts w:hint="eastAsia" w:ascii="仿宋_GB2312" w:hAnsi="宋体" w:eastAsia="仿宋_GB2312" w:cs="宋体"/>
                <w:color w:val="333333"/>
                <w:sz w:val="20"/>
                <w:szCs w:val="20"/>
                <w:lang w:bidi="ar"/>
              </w:rPr>
              <w:t>大类固定资产的期初（末）值、每年增加（减少）值与财务账相符。</w:t>
            </w:r>
          </w:p>
        </w:tc>
      </w:tr>
      <w:tr>
        <w:tblPrEx>
          <w:tblLayout w:type="fixed"/>
          <w:tblCellMar>
            <w:top w:w="0" w:type="dxa"/>
            <w:left w:w="108" w:type="dxa"/>
            <w:bottom w:w="0" w:type="dxa"/>
            <w:right w:w="108" w:type="dxa"/>
          </w:tblCellMar>
        </w:tblPrEx>
        <w:trPr>
          <w:trHeight w:val="48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2</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资产管理平台信息规范：相同的资产在平台上不能第二种命名方式，除特殊要求外。同一类的资产必须对应统一的资产分类。根据</w:t>
            </w:r>
            <w:r>
              <w:rPr>
                <w:rFonts w:hint="eastAsia" w:ascii="仿宋_GB2312" w:hAnsi="宋体" w:eastAsia="仿宋_GB2312" w:cs="宋体"/>
                <w:color w:val="333333"/>
                <w:sz w:val="20"/>
                <w:szCs w:val="20"/>
                <w:lang w:eastAsia="zh-CN" w:bidi="ar"/>
              </w:rPr>
              <w:t>采购</w:t>
            </w:r>
            <w:r>
              <w:rPr>
                <w:rFonts w:hint="eastAsia" w:ascii="仿宋_GB2312" w:hAnsi="宋体" w:eastAsia="仿宋_GB2312" w:cs="宋体"/>
                <w:color w:val="333333"/>
                <w:sz w:val="20"/>
                <w:szCs w:val="20"/>
                <w:lang w:bidi="ar"/>
              </w:rPr>
              <w:t>单位最新部门、人员、存放地等信息重新完善基础信息录入。</w:t>
            </w:r>
          </w:p>
        </w:tc>
      </w:tr>
      <w:tr>
        <w:tblPrEx>
          <w:tblLayout w:type="fixed"/>
          <w:tblCellMar>
            <w:top w:w="0" w:type="dxa"/>
            <w:left w:w="108" w:type="dxa"/>
            <w:bottom w:w="0" w:type="dxa"/>
            <w:right w:w="108" w:type="dxa"/>
          </w:tblCellMar>
        </w:tblPrEx>
        <w:trPr>
          <w:trHeight w:val="24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3</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查询固定资产增加单等相关原始凭证，就之前混批录入的不同资产卡片进行准确拆分，实现一物一卡管理，便于后期管理及处置。</w:t>
            </w:r>
          </w:p>
        </w:tc>
      </w:tr>
      <w:tr>
        <w:tblPrEx>
          <w:tblLayout w:type="fixed"/>
          <w:tblCellMar>
            <w:top w:w="0" w:type="dxa"/>
            <w:left w:w="108" w:type="dxa"/>
            <w:bottom w:w="0" w:type="dxa"/>
            <w:right w:w="108" w:type="dxa"/>
          </w:tblCellMar>
        </w:tblPrEx>
        <w:trPr>
          <w:trHeight w:val="72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4</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盘点</w:t>
            </w:r>
            <w:r>
              <w:rPr>
                <w:rFonts w:hint="eastAsia" w:ascii="仿宋_GB2312" w:hAnsi="宋体" w:eastAsia="仿宋_GB2312" w:cs="宋体"/>
                <w:color w:val="333333"/>
                <w:sz w:val="20"/>
                <w:szCs w:val="20"/>
                <w:lang w:eastAsia="zh-CN" w:bidi="ar"/>
              </w:rPr>
              <w:t>采购</w:t>
            </w:r>
            <w:r>
              <w:rPr>
                <w:rFonts w:hint="eastAsia" w:ascii="仿宋_GB2312" w:hAnsi="宋体" w:eastAsia="仿宋_GB2312" w:cs="宋体"/>
                <w:color w:val="333333"/>
                <w:sz w:val="20"/>
                <w:szCs w:val="20"/>
                <w:lang w:bidi="ar"/>
              </w:rPr>
              <w:t>单位的所有实物资产（包含仓库资产搬运、整理分类），核对固定资产增加单等相关原始凭证落实资产的去向，对照梳理资产管理平台数据，清查数据应全部体现在资产卡片的每个字段上，记录每条资产的使用信息（包括不限于资产名称、规格型号、厂家、</w:t>
            </w:r>
            <w:r>
              <w:rPr>
                <w:rFonts w:hint="eastAsia" w:ascii="仿宋_GB2312" w:hAnsi="宋体" w:eastAsia="仿宋_GB2312" w:cs="宋体"/>
                <w:color w:val="333333"/>
                <w:sz w:val="20"/>
                <w:szCs w:val="20"/>
                <w:lang w:eastAsia="zh-CN" w:bidi="ar"/>
              </w:rPr>
              <w:t>使用</w:t>
            </w:r>
            <w:r>
              <w:rPr>
                <w:rFonts w:hint="eastAsia" w:ascii="仿宋_GB2312" w:hAnsi="宋体" w:eastAsia="仿宋_GB2312" w:cs="宋体"/>
                <w:color w:val="333333"/>
                <w:sz w:val="20"/>
                <w:szCs w:val="20"/>
                <w:lang w:bidi="ar"/>
              </w:rPr>
              <w:t>部门、使用人、存放地点等），将采集的资产信息</w:t>
            </w:r>
            <w:r>
              <w:rPr>
                <w:rFonts w:hint="eastAsia" w:ascii="仿宋_GB2312" w:hAnsi="宋体" w:eastAsia="仿宋_GB2312" w:cs="宋体"/>
                <w:color w:val="333333"/>
                <w:sz w:val="20"/>
                <w:szCs w:val="20"/>
                <w:lang w:eastAsia="zh-CN" w:bidi="ar"/>
              </w:rPr>
              <w:t>完整</w:t>
            </w:r>
            <w:r>
              <w:rPr>
                <w:rFonts w:hint="eastAsia" w:ascii="仿宋_GB2312" w:hAnsi="宋体" w:eastAsia="仿宋_GB2312" w:cs="宋体"/>
                <w:color w:val="333333"/>
                <w:sz w:val="20"/>
                <w:szCs w:val="20"/>
                <w:lang w:bidi="ar"/>
              </w:rPr>
              <w:t>填入资产卡片</w:t>
            </w:r>
            <w:r>
              <w:rPr>
                <w:rFonts w:hint="eastAsia" w:ascii="仿宋_GB2312" w:hAnsi="宋体" w:eastAsia="仿宋_GB2312" w:cs="宋体"/>
                <w:color w:val="333333"/>
                <w:sz w:val="20"/>
                <w:szCs w:val="20"/>
                <w:lang w:eastAsia="zh-CN" w:bidi="ar"/>
              </w:rPr>
              <w:t>信息</w:t>
            </w:r>
            <w:r>
              <w:rPr>
                <w:rFonts w:hint="eastAsia" w:ascii="仿宋_GB2312" w:hAnsi="宋体" w:eastAsia="仿宋_GB2312" w:cs="宋体"/>
                <w:color w:val="333333"/>
                <w:sz w:val="20"/>
                <w:szCs w:val="20"/>
                <w:lang w:bidi="ar"/>
              </w:rPr>
              <w:t>中，核对数据准确性，确保实物与资产卡片信息精准匹配，确保近</w:t>
            </w:r>
            <w:r>
              <w:rPr>
                <w:rFonts w:hint="eastAsia" w:ascii="仿宋_GB2312" w:hAnsi="宋体" w:eastAsia="仿宋_GB2312" w:cs="宋体"/>
                <w:color w:val="333333"/>
                <w:sz w:val="20"/>
                <w:szCs w:val="20"/>
                <w:lang w:eastAsia="zh-CN" w:bidi="ar"/>
              </w:rPr>
              <w:t>五</w:t>
            </w:r>
            <w:r>
              <w:rPr>
                <w:rFonts w:hint="eastAsia" w:ascii="仿宋_GB2312" w:hAnsi="宋体" w:eastAsia="仿宋_GB2312" w:cs="宋体"/>
                <w:color w:val="333333"/>
                <w:sz w:val="20"/>
                <w:szCs w:val="20"/>
                <w:lang w:bidi="ar"/>
              </w:rPr>
              <w:t>年资产会计凭证号、发票号、供应商、厂家等所有资产卡片信息补充完整，确保每条资产落实到每位使用人的名下进行保管。</w:t>
            </w:r>
          </w:p>
        </w:tc>
      </w:tr>
      <w:tr>
        <w:tblPrEx>
          <w:tblLayout w:type="fixed"/>
          <w:tblCellMar>
            <w:top w:w="0" w:type="dxa"/>
            <w:left w:w="108" w:type="dxa"/>
            <w:bottom w:w="0" w:type="dxa"/>
            <w:right w:w="108" w:type="dxa"/>
          </w:tblCellMar>
        </w:tblPrEx>
        <w:trPr>
          <w:trHeight w:val="72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5</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盘点整理局机关多处仓库，确保仓库实物与资产管理平台数据一一对应，出具盘盈、盘亏、待报废、闲置、可用资产明细表（采购日期、资产编码、规格型号、数量、金额、已提折旧金额）。将仓库实物按盘盈、待报废、闲置、可用等类别分地点存放，同一地点资产实物按年限按物品分类整齐摆放，在资产管理平台上更新使用状况。</w:t>
            </w:r>
          </w:p>
        </w:tc>
      </w:tr>
      <w:tr>
        <w:tblPrEx>
          <w:tblLayout w:type="fixed"/>
          <w:tblCellMar>
            <w:top w:w="0" w:type="dxa"/>
            <w:left w:w="108" w:type="dxa"/>
            <w:bottom w:w="0" w:type="dxa"/>
            <w:right w:w="108" w:type="dxa"/>
          </w:tblCellMar>
        </w:tblPrEx>
        <w:trPr>
          <w:trHeight w:val="9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6</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仿宋_GB2312" w:eastAsia="仿宋_GB2312" w:cs="仿宋_GB2312"/>
                <w:color w:val="333333"/>
                <w:sz w:val="20"/>
                <w:szCs w:val="20"/>
                <w:lang w:bidi="ar"/>
              </w:rPr>
              <w:t>拟出可处置资产清单：根据各实物资产实际状况，结合资产处置的政策法规，拟出可处置资产的申请清单</w:t>
            </w:r>
            <w:r>
              <w:rPr>
                <w:rFonts w:hint="eastAsia" w:ascii="仿宋_GB2312" w:hAnsi="仿宋_GB2312" w:eastAsia="仿宋_GB2312" w:cs="仿宋_GB2312"/>
                <w:color w:val="333333"/>
                <w:sz w:val="20"/>
                <w:szCs w:val="20"/>
                <w:lang w:eastAsia="zh-CN" w:bidi="ar"/>
              </w:rPr>
              <w:t>，</w:t>
            </w:r>
            <w:r>
              <w:rPr>
                <w:rFonts w:hint="eastAsia" w:ascii="仿宋_GB2312" w:hAnsi="仿宋_GB2312" w:eastAsia="仿宋_GB2312" w:cs="仿宋_GB2312"/>
                <w:color w:val="000000"/>
                <w:sz w:val="20"/>
                <w:szCs w:val="20"/>
              </w:rPr>
              <w:t>提供有资质会计师事务所出具的清查盘点报告</w:t>
            </w:r>
            <w:r>
              <w:rPr>
                <w:rFonts w:hint="eastAsia" w:ascii="仿宋_GB2312" w:hAnsi="仿宋_GB2312" w:eastAsia="仿宋_GB2312" w:cs="仿宋_GB2312"/>
                <w:color w:val="333333"/>
                <w:sz w:val="20"/>
                <w:szCs w:val="20"/>
                <w:lang w:bidi="ar"/>
              </w:rPr>
              <w:t>。就待处置的资产按类别按处置计划归类存放在指定位置以便后期分批处置。</w:t>
            </w:r>
          </w:p>
        </w:tc>
      </w:tr>
      <w:tr>
        <w:tblPrEx>
          <w:tblLayout w:type="fixed"/>
          <w:tblCellMar>
            <w:top w:w="0" w:type="dxa"/>
            <w:left w:w="108" w:type="dxa"/>
            <w:bottom w:w="0" w:type="dxa"/>
            <w:right w:w="108" w:type="dxa"/>
          </w:tblCellMar>
        </w:tblPrEx>
        <w:trPr>
          <w:trHeight w:val="48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7</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资产‘一物一卡一码’标签化管理：对所有盘实的资产进行条码化管理，编制资产标签码应与资产管理平台资产编码相同，并保证唯一性，供应商</w:t>
            </w:r>
            <w:r>
              <w:rPr>
                <w:rFonts w:hint="eastAsia" w:ascii="仿宋_GB2312" w:hAnsi="宋体" w:eastAsia="仿宋_GB2312" w:cs="宋体"/>
                <w:color w:val="333333"/>
                <w:sz w:val="20"/>
                <w:szCs w:val="20"/>
                <w:lang w:eastAsia="zh-CN" w:bidi="ar"/>
              </w:rPr>
              <w:t>应</w:t>
            </w:r>
            <w:r>
              <w:rPr>
                <w:rFonts w:hint="eastAsia" w:ascii="仿宋_GB2312" w:hAnsi="宋体" w:eastAsia="仿宋_GB2312" w:cs="宋体"/>
                <w:color w:val="333333"/>
                <w:sz w:val="20"/>
                <w:szCs w:val="20"/>
                <w:lang w:bidi="ar"/>
              </w:rPr>
              <w:t>自备标签打印设备及</w:t>
            </w:r>
            <w:r>
              <w:rPr>
                <w:rFonts w:hint="eastAsia" w:ascii="仿宋_GB2312" w:hAnsi="宋体" w:eastAsia="仿宋_GB2312" w:cs="宋体"/>
                <w:color w:val="333333"/>
                <w:sz w:val="20"/>
                <w:szCs w:val="20"/>
                <w:lang w:eastAsia="zh-CN" w:bidi="ar"/>
              </w:rPr>
              <w:t>耗材</w:t>
            </w:r>
            <w:r>
              <w:rPr>
                <w:rFonts w:hint="eastAsia" w:ascii="仿宋_GB2312" w:hAnsi="宋体" w:eastAsia="仿宋_GB2312" w:cs="宋体"/>
                <w:color w:val="333333"/>
                <w:sz w:val="20"/>
                <w:szCs w:val="20"/>
                <w:lang w:bidi="ar"/>
              </w:rPr>
              <w:t>，按</w:t>
            </w:r>
            <w:r>
              <w:rPr>
                <w:rFonts w:hint="eastAsia" w:ascii="仿宋_GB2312" w:hAnsi="宋体" w:eastAsia="仿宋_GB2312" w:cs="宋体"/>
                <w:color w:val="333333"/>
                <w:sz w:val="20"/>
                <w:szCs w:val="20"/>
                <w:lang w:eastAsia="zh-CN" w:bidi="ar"/>
              </w:rPr>
              <w:t>采购</w:t>
            </w:r>
            <w:r>
              <w:rPr>
                <w:rFonts w:hint="eastAsia" w:ascii="仿宋_GB2312" w:hAnsi="宋体" w:eastAsia="仿宋_GB2312" w:cs="宋体"/>
                <w:color w:val="333333"/>
                <w:sz w:val="20"/>
                <w:szCs w:val="20"/>
                <w:lang w:bidi="ar"/>
              </w:rPr>
              <w:t>单位要求设计资产标签打印模板，在资产管理平台上打印条码标签黏粘到对应的实物上（标签必须美观便于盘点）。</w:t>
            </w:r>
          </w:p>
        </w:tc>
      </w:tr>
      <w:tr>
        <w:tblPrEx>
          <w:tblLayout w:type="fixed"/>
          <w:tblCellMar>
            <w:top w:w="0" w:type="dxa"/>
            <w:left w:w="108" w:type="dxa"/>
            <w:bottom w:w="0" w:type="dxa"/>
            <w:right w:w="108" w:type="dxa"/>
          </w:tblCellMar>
        </w:tblPrEx>
        <w:trPr>
          <w:trHeight w:val="72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8</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根据盘点后修正的资料，出具各</w:t>
            </w:r>
            <w:r>
              <w:rPr>
                <w:rFonts w:hint="eastAsia" w:ascii="仿宋_GB2312" w:hAnsi="宋体" w:eastAsia="仿宋_GB2312" w:cs="宋体"/>
                <w:color w:val="333333"/>
                <w:sz w:val="20"/>
                <w:szCs w:val="20"/>
                <w:lang w:eastAsia="zh-CN" w:bidi="ar"/>
              </w:rPr>
              <w:t>处室</w:t>
            </w:r>
            <w:r>
              <w:rPr>
                <w:rFonts w:hint="eastAsia" w:ascii="仿宋_GB2312" w:hAnsi="宋体" w:eastAsia="仿宋_GB2312" w:cs="宋体"/>
                <w:color w:val="333333"/>
                <w:sz w:val="20"/>
                <w:szCs w:val="20"/>
                <w:lang w:bidi="ar"/>
              </w:rPr>
              <w:t>资产状况明细及相关资产盘点报表，</w:t>
            </w:r>
            <w:r>
              <w:rPr>
                <w:rFonts w:hint="eastAsia" w:ascii="仿宋_GB2312" w:hAnsi="宋体" w:eastAsia="仿宋_GB2312" w:cs="宋体"/>
                <w:color w:val="333333"/>
                <w:sz w:val="20"/>
                <w:szCs w:val="20"/>
                <w:lang w:eastAsia="zh-CN" w:bidi="ar"/>
              </w:rPr>
              <w:t>交由</w:t>
            </w:r>
            <w:r>
              <w:rPr>
                <w:rFonts w:hint="eastAsia" w:ascii="仿宋_GB2312" w:hAnsi="宋体" w:eastAsia="仿宋_GB2312" w:cs="宋体"/>
                <w:color w:val="333333"/>
                <w:sz w:val="20"/>
                <w:szCs w:val="20"/>
                <w:lang w:bidi="ar"/>
              </w:rPr>
              <w:t>各</w:t>
            </w:r>
            <w:r>
              <w:rPr>
                <w:rFonts w:hint="eastAsia" w:ascii="仿宋_GB2312" w:hAnsi="宋体" w:eastAsia="仿宋_GB2312" w:cs="宋体"/>
                <w:color w:val="333333"/>
                <w:sz w:val="20"/>
                <w:szCs w:val="20"/>
                <w:lang w:eastAsia="zh-CN" w:bidi="ar"/>
              </w:rPr>
              <w:t>处室</w:t>
            </w:r>
            <w:r>
              <w:rPr>
                <w:rFonts w:hint="eastAsia" w:ascii="仿宋_GB2312" w:hAnsi="宋体" w:eastAsia="仿宋_GB2312" w:cs="宋体"/>
                <w:color w:val="333333"/>
                <w:sz w:val="20"/>
                <w:szCs w:val="20"/>
                <w:lang w:bidi="ar"/>
              </w:rPr>
              <w:t>的具体使用人签字确认。根据盘点结果，对盘盈资产进行增加、对需要调拨的资产进行系统调拨、对盘亏和损坏的资产进行备案（提供各类别的资产明细）。根据本次清查的结果，将数据明细、数据汇总、数据台账装订成册并制作成清查报告。在资产管理平台盘点模块同步生成盘点数据完成盘点流程。</w:t>
            </w:r>
          </w:p>
        </w:tc>
      </w:tr>
      <w:tr>
        <w:tblPrEx>
          <w:tblLayout w:type="fixed"/>
          <w:tblCellMar>
            <w:top w:w="0" w:type="dxa"/>
            <w:left w:w="108" w:type="dxa"/>
            <w:bottom w:w="0" w:type="dxa"/>
            <w:right w:w="108" w:type="dxa"/>
          </w:tblCellMar>
        </w:tblPrEx>
        <w:trPr>
          <w:trHeight w:val="48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9</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完善资产管理平台折旧计提。按财政部门有关折旧计提要求，对资产管理平台上的固定资产进行折旧设置（包括不限于重新设置折旧年限），</w:t>
            </w:r>
            <w:r>
              <w:rPr>
                <w:rFonts w:hint="eastAsia" w:ascii="仿宋_GB2312" w:hAnsi="宋体" w:eastAsia="仿宋_GB2312" w:cs="宋体"/>
                <w:color w:val="333333"/>
                <w:sz w:val="20"/>
                <w:szCs w:val="20"/>
                <w:lang w:eastAsia="zh-CN" w:bidi="ar"/>
              </w:rPr>
              <w:t>确保</w:t>
            </w:r>
            <w:r>
              <w:rPr>
                <w:rFonts w:hint="eastAsia" w:ascii="仿宋_GB2312" w:hAnsi="宋体" w:eastAsia="仿宋_GB2312" w:cs="宋体"/>
                <w:color w:val="333333"/>
                <w:sz w:val="20"/>
                <w:szCs w:val="20"/>
                <w:lang w:bidi="ar"/>
              </w:rPr>
              <w:t>资产管理平台</w:t>
            </w:r>
            <w:r>
              <w:rPr>
                <w:rFonts w:hint="eastAsia" w:ascii="仿宋_GB2312" w:hAnsi="宋体" w:eastAsia="仿宋_GB2312" w:cs="宋体"/>
                <w:color w:val="333333"/>
                <w:sz w:val="20"/>
                <w:szCs w:val="20"/>
                <w:lang w:val="en-US" w:eastAsia="zh-CN" w:bidi="ar"/>
              </w:rPr>
              <w:t>2024</w:t>
            </w:r>
            <w:r>
              <w:rPr>
                <w:rFonts w:hint="eastAsia" w:ascii="仿宋_GB2312" w:hAnsi="宋体" w:eastAsia="仿宋_GB2312" w:cs="宋体"/>
                <w:color w:val="333333"/>
                <w:sz w:val="20"/>
                <w:szCs w:val="20"/>
                <w:lang w:bidi="ar"/>
              </w:rPr>
              <w:t>年期末</w:t>
            </w:r>
            <w:r>
              <w:rPr>
                <w:rFonts w:hint="eastAsia" w:ascii="仿宋_GB2312" w:hAnsi="宋体" w:eastAsia="仿宋_GB2312" w:cs="宋体"/>
                <w:color w:val="333333"/>
                <w:sz w:val="20"/>
                <w:szCs w:val="20"/>
                <w:lang w:eastAsia="zh-CN" w:bidi="ar"/>
              </w:rPr>
              <w:t>折旧数据账账相符</w:t>
            </w:r>
            <w:r>
              <w:rPr>
                <w:rFonts w:hint="eastAsia" w:ascii="仿宋_GB2312" w:hAnsi="宋体" w:eastAsia="仿宋_GB2312" w:cs="宋体"/>
                <w:color w:val="333333"/>
                <w:sz w:val="20"/>
                <w:szCs w:val="20"/>
                <w:lang w:bidi="ar"/>
              </w:rPr>
              <w:t>。</w:t>
            </w:r>
          </w:p>
        </w:tc>
      </w:tr>
      <w:tr>
        <w:tblPrEx>
          <w:tblLayout w:type="fixed"/>
          <w:tblCellMar>
            <w:top w:w="0" w:type="dxa"/>
            <w:left w:w="108" w:type="dxa"/>
            <w:bottom w:w="0" w:type="dxa"/>
            <w:right w:w="108" w:type="dxa"/>
          </w:tblCellMar>
        </w:tblPrEx>
        <w:trPr>
          <w:trHeight w:val="24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10</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打印</w:t>
            </w:r>
            <w:r>
              <w:rPr>
                <w:rFonts w:hint="eastAsia" w:ascii="仿宋_GB2312" w:hAnsi="宋体" w:eastAsia="仿宋_GB2312" w:cs="宋体"/>
                <w:color w:val="333333"/>
                <w:sz w:val="20"/>
                <w:szCs w:val="20"/>
                <w:lang w:val="en-US" w:eastAsia="zh-CN" w:bidi="ar"/>
              </w:rPr>
              <w:t>近五</w:t>
            </w:r>
            <w:r>
              <w:rPr>
                <w:rFonts w:hint="eastAsia" w:ascii="仿宋_GB2312" w:hAnsi="宋体" w:eastAsia="仿宋_GB2312" w:cs="宋体"/>
                <w:color w:val="333333"/>
                <w:sz w:val="20"/>
                <w:szCs w:val="20"/>
                <w:lang w:bidi="ar"/>
              </w:rPr>
              <w:t>年固定资产卡片，将固定资产卡片与固定资产增加单、发票复印件等材料装订成册，将近</w:t>
            </w:r>
            <w:r>
              <w:rPr>
                <w:rFonts w:hint="eastAsia" w:ascii="仿宋_GB2312" w:hAnsi="宋体" w:eastAsia="仿宋_GB2312" w:cs="宋体"/>
                <w:color w:val="333333"/>
                <w:sz w:val="20"/>
                <w:szCs w:val="20"/>
                <w:lang w:eastAsia="zh-CN" w:bidi="ar"/>
              </w:rPr>
              <w:t>五</w:t>
            </w:r>
            <w:r>
              <w:rPr>
                <w:rFonts w:hint="eastAsia" w:ascii="仿宋_GB2312" w:hAnsi="宋体" w:eastAsia="仿宋_GB2312" w:cs="宋体"/>
                <w:color w:val="333333"/>
                <w:sz w:val="20"/>
                <w:szCs w:val="20"/>
                <w:lang w:bidi="ar"/>
              </w:rPr>
              <w:t>年固定资产财务明细账、资产管理平台固定资产明细表、盘点表装订成册。</w:t>
            </w:r>
          </w:p>
        </w:tc>
      </w:tr>
      <w:tr>
        <w:tblPrEx>
          <w:tblLayout w:type="fixed"/>
          <w:tblCellMar>
            <w:top w:w="0" w:type="dxa"/>
            <w:left w:w="108" w:type="dxa"/>
            <w:bottom w:w="0" w:type="dxa"/>
            <w:right w:w="108" w:type="dxa"/>
          </w:tblCellMar>
        </w:tblPrEx>
        <w:trPr>
          <w:trHeight w:val="72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11</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bidi="ar"/>
              </w:rPr>
              <w:t>提供服务的供应商及其工作团队成员应当遵守如下规定：遵守保密制度，不应泄漏国家秘密、工作秘密、商业秘密和不应公开的信息；不得利用工作便利，为本单位、本人或者他人牟取不正当利益。清查过程中接触数据、实物和场景严格保守保密，接受监督。</w:t>
            </w:r>
          </w:p>
        </w:tc>
      </w:tr>
      <w:tr>
        <w:tblPrEx>
          <w:tblLayout w:type="fixed"/>
          <w:tblCellMar>
            <w:top w:w="0" w:type="dxa"/>
            <w:left w:w="108" w:type="dxa"/>
            <w:bottom w:w="0" w:type="dxa"/>
            <w:right w:w="108" w:type="dxa"/>
          </w:tblCellMar>
        </w:tblPrEx>
        <w:trPr>
          <w:trHeight w:val="240" w:hRule="atLeast"/>
        </w:trPr>
        <w:tc>
          <w:tcPr>
            <w:tcW w:w="97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lang w:bidi="ar"/>
              </w:rPr>
              <w:t>12</w:t>
            </w:r>
          </w:p>
        </w:tc>
        <w:tc>
          <w:tcPr>
            <w:tcW w:w="133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color w:val="333333"/>
                <w:sz w:val="20"/>
                <w:szCs w:val="20"/>
              </w:rPr>
            </w:pPr>
            <w:r>
              <w:rPr>
                <w:rFonts w:hint="eastAsia" w:ascii="仿宋_GB2312" w:hAnsi="宋体" w:eastAsia="仿宋_GB2312" w:cs="宋体"/>
                <w:color w:val="333333"/>
                <w:sz w:val="20"/>
                <w:szCs w:val="20"/>
                <w:lang w:eastAsia="zh-CN" w:bidi="ar"/>
              </w:rPr>
              <w:t>服务</w:t>
            </w:r>
            <w:r>
              <w:rPr>
                <w:rFonts w:hint="eastAsia" w:ascii="仿宋_GB2312" w:hAnsi="宋体" w:eastAsia="仿宋_GB2312" w:cs="宋体"/>
                <w:color w:val="333333"/>
                <w:sz w:val="20"/>
                <w:szCs w:val="20"/>
                <w:lang w:bidi="ar"/>
              </w:rPr>
              <w:t>团队若进行人员调整，需取得采购</w:t>
            </w:r>
            <w:r>
              <w:rPr>
                <w:rFonts w:hint="eastAsia" w:ascii="仿宋_GB2312" w:hAnsi="宋体" w:eastAsia="仿宋_GB2312" w:cs="宋体"/>
                <w:color w:val="333333"/>
                <w:sz w:val="20"/>
                <w:szCs w:val="20"/>
                <w:lang w:eastAsia="zh-CN" w:bidi="ar"/>
              </w:rPr>
              <w:t>单位</w:t>
            </w:r>
            <w:r>
              <w:rPr>
                <w:rFonts w:hint="eastAsia" w:ascii="仿宋_GB2312" w:hAnsi="宋体" w:eastAsia="仿宋_GB2312" w:cs="宋体"/>
                <w:color w:val="333333"/>
                <w:sz w:val="20"/>
                <w:szCs w:val="20"/>
                <w:lang w:bidi="ar"/>
              </w:rPr>
              <w:t>的同意。未经同意擅自更换人员的，采购</w:t>
            </w:r>
            <w:r>
              <w:rPr>
                <w:rFonts w:hint="eastAsia" w:ascii="仿宋_GB2312" w:hAnsi="宋体" w:eastAsia="仿宋_GB2312" w:cs="宋体"/>
                <w:color w:val="333333"/>
                <w:sz w:val="20"/>
                <w:szCs w:val="20"/>
                <w:lang w:eastAsia="zh-CN" w:bidi="ar"/>
              </w:rPr>
              <w:t>单位</w:t>
            </w:r>
            <w:r>
              <w:rPr>
                <w:rFonts w:hint="eastAsia" w:ascii="仿宋_GB2312" w:hAnsi="宋体" w:eastAsia="仿宋_GB2312" w:cs="宋体"/>
                <w:color w:val="333333"/>
                <w:sz w:val="20"/>
                <w:szCs w:val="20"/>
                <w:lang w:bidi="ar"/>
              </w:rPr>
              <w:t>有权解除合同。</w:t>
            </w:r>
          </w:p>
        </w:tc>
      </w:tr>
    </w:tbl>
    <w:p>
      <w:bookmarkStart w:id="0" w:name="_GoBack"/>
      <w:bookmarkEnd w:id="0"/>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B0604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G Times">
    <w:altName w:val="Vijaya"/>
    <w:panose1 w:val="020B0604020202020204"/>
    <w:charset w:val="00"/>
    <w:family w:val="auto"/>
    <w:pitch w:val="default"/>
    <w:sig w:usb0="00000000" w:usb1="00000000" w:usb2="00000000" w:usb3="00000000" w:csb0="00000000" w:csb1="00000000"/>
  </w:font>
  <w:font w:name="Vijaya">
    <w:panose1 w:val="020B0604020202020204"/>
    <w:charset w:val="00"/>
    <w:family w:val="auto"/>
    <w:pitch w:val="default"/>
    <w:sig w:usb0="00100003" w:usb1="00000000" w:usb2="00000000" w:usb3="00000000" w:csb0="00000001" w:csb1="00000000"/>
  </w:font>
  <w:font w:name="Garamond">
    <w:altName w:val="Traditional Arabic"/>
    <w:panose1 w:val="02020603050405020304"/>
    <w:charset w:val="00"/>
    <w:family w:val="auto"/>
    <w:pitch w:val="default"/>
    <w:sig w:usb0="00000000" w:usb1="00000000" w:usb2="00000000" w:usb3="00000000" w:csb0="00000000" w:csb1="00000000"/>
  </w:font>
  <w:font w:name="Traditional Arabic">
    <w:panose1 w:val="02020603050405020304"/>
    <w:charset w:val="00"/>
    <w:family w:val="auto"/>
    <w:pitch w:val="default"/>
    <w:sig w:usb0="00006003" w:usb1="80000000" w:usb2="00000008" w:usb3="00000000" w:csb0="00000041" w:csb1="20080000"/>
  </w:font>
  <w:font w:name="楷体_GB2312">
    <w:panose1 w:val="02010609030101010101"/>
    <w:charset w:val="86"/>
    <w:family w:val="auto"/>
    <w:pitch w:val="default"/>
    <w:sig w:usb0="00000001" w:usb1="080E0000" w:usb2="00000000" w:usb3="00000000" w:csb0="00040000" w:csb1="00000000"/>
  </w:font>
  <w:font w:name="Futura Book">
    <w:altName w:val="Vijaya"/>
    <w:panose1 w:val="020B0604020202020204"/>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华文楷体">
    <w:altName w:val="宋体"/>
    <w:panose1 w:val="02010600000101010101"/>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Arial Narrow">
    <w:altName w:val="Arial"/>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C94FA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default" w:ascii="Times New Roman" w:hAnsi="Times New Roman" w:eastAsia="宋体" w:cs="Times New Roman"/>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Default"/>
    <w:qFormat/>
    <w:uiPriority w:val="0"/>
    <w:pPr>
      <w:widowControl w:val="0"/>
    </w:pPr>
    <w:rPr>
      <w:rFonts w:hint="default"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2025-02-28T09:03:42Z</dcterms:modified>
  <dc:title>采购需求：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